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Orange County Bancorp,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958,296.00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1,084,329.00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1,084,329.00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00"/>
          </w:cols>
          <w:pgMar w:left="360" w:top="111" w:right="6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Orange County Bancorp,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212 DOLSON AVENUE MIDDLETOWN NY 10940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BlackRock Portfolio Management LLC In accordance with SEC Release No. 34-39538 (January 12, 1998), this</w:t>
      </w:r>
    </w:p>
    <w:p>
      <w:pPr>
        <w:spacing w:after="0" w:line="14"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0920"/>
          </w:cols>
          <w:pgMar w:left="360" w:top="111" w:right="6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Portfolio Management LLC,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34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00"/>
          </w:cols>
          <w:pgMar w:left="360" w:top="111" w:right="61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1084329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958296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1084329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Orange County Bancorp, Inc.. No one person's interest in the common stock of Orange County Bancorp,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559"/>
        <w:spacing w:after="0" w:line="289" w:lineRule="auto"/>
        <w:rPr>
          <w:sz w:val="20"/>
          <w:szCs w:val="20"/>
          <w:color w:val="auto"/>
        </w:rPr>
      </w:pPr>
      <w:r>
        <w:rPr>
          <w:rFonts w:ascii="Courier New" w:cs="Courier New" w:eastAsia="Courier New" w:hAnsi="Courier New"/>
          <w:sz w:val="16"/>
          <w:szCs w:val="16"/>
          <w:color w:val="auto"/>
        </w:rPr>
        <w:t>The undersigned, BlackRock Portfolio Management LLC, a limited liability company duly organized under the laws of the State of Delaware,</w:t>
      </w:r>
    </w:p>
    <w:p>
      <w:pPr>
        <w:ind w:right="2659"/>
        <w:spacing w:after="0" w:line="238" w:lineRule="auto"/>
        <w:rPr>
          <w:sz w:val="20"/>
          <w:szCs w:val="20"/>
          <w:color w:val="auto"/>
        </w:rPr>
      </w:pPr>
      <w:r>
        <w:rPr>
          <w:rFonts w:ascii="Courier New" w:cs="Courier New" w:eastAsia="Courier New" w:hAnsi="Courier New"/>
          <w:sz w:val="18"/>
          <w:szCs w:val="18"/>
          <w:color w:val="auto"/>
        </w:rPr>
        <w:t>United States (the "Company"), does hereby make, constitute and appoint each of Eric Andruczyk, Julie Ashworth, Richard Cundiff,</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w:t>
      </w:r>
    </w:p>
    <w:p>
      <w:pPr>
        <w:spacing w:after="0" w:line="1"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David Rothenberg, Brenda Schulz and Joseph Virgilio, acting severally, as its true and lawful attorneys-in-fact, for the purpose of,</w:t>
      </w:r>
    </w:p>
    <w:p>
      <w:pPr>
        <w:ind w:right="2439"/>
        <w:spacing w:after="0" w:line="238" w:lineRule="auto"/>
        <w:rPr>
          <w:sz w:val="20"/>
          <w:szCs w:val="20"/>
          <w:color w:val="auto"/>
        </w:rPr>
      </w:pPr>
      <w:r>
        <w:rPr>
          <w:rFonts w:ascii="Courier New" w:cs="Courier New" w:eastAsia="Courier New" w:hAnsi="Courier New"/>
          <w:sz w:val="18"/>
          <w:szCs w:val="18"/>
          <w:color w:val="auto"/>
        </w:rPr>
        <w:t>from time to time, executing, in its name and on its behalf and on behalf of its direct and indirect subsidiaries and affiliates,</w:t>
      </w:r>
    </w:p>
    <w:p>
      <w:pPr>
        <w:spacing w:after="0" w:line="1" w:lineRule="exact"/>
        <w:rPr>
          <w:sz w:val="20"/>
          <w:szCs w:val="20"/>
          <w:color w:val="auto"/>
        </w:rPr>
      </w:pPr>
    </w:p>
    <w:p>
      <w:pPr>
        <w:ind w:right="2559"/>
        <w:spacing w:after="0" w:line="238" w:lineRule="auto"/>
        <w:rPr>
          <w:sz w:val="20"/>
          <w:szCs w:val="20"/>
          <w:color w:val="auto"/>
        </w:rPr>
      </w:pPr>
      <w:r>
        <w:rPr>
          <w:rFonts w:ascii="Courier New" w:cs="Courier New" w:eastAsia="Courier New" w:hAnsi="Courier New"/>
          <w:sz w:val="18"/>
          <w:szCs w:val="18"/>
          <w:color w:val="auto"/>
        </w:rPr>
        <w:t>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w:t>
      </w:r>
    </w:p>
    <w:p>
      <w:pPr>
        <w:spacing w:after="0"/>
        <w:rPr>
          <w:sz w:val="20"/>
          <w:szCs w:val="20"/>
          <w:color w:val="auto"/>
        </w:rPr>
      </w:pPr>
      <w:r>
        <w:rPr>
          <w:rFonts w:ascii="Courier New" w:cs="Courier New" w:eastAsia="Courier New" w:hAnsi="Courier New"/>
          <w:sz w:val="18"/>
          <w:szCs w:val="18"/>
          <w:color w:val="auto"/>
        </w:rPr>
        <w:t>without limitation, Schedules 13D and 13G and Forms 3, 4, 5, 13F, 13H,</w:t>
      </w:r>
    </w:p>
    <w:p>
      <w:pPr>
        <w:spacing w:after="0" w:line="238" w:lineRule="auto"/>
        <w:rPr>
          <w:sz w:val="20"/>
          <w:szCs w:val="20"/>
          <w:color w:val="auto"/>
        </w:rPr>
      </w:pPr>
      <w:r>
        <w:rPr>
          <w:rFonts w:ascii="Courier New" w:cs="Courier New" w:eastAsia="Courier New" w:hAnsi="Courier New"/>
          <w:sz w:val="18"/>
          <w:szCs w:val="18"/>
          <w:color w:val="auto"/>
        </w:rPr>
        <w:t>SHO and N-PX and any amendments to any of the foregoing as may be required</w:t>
      </w:r>
    </w:p>
    <w:p>
      <w:pPr>
        <w:spacing w:after="0" w:line="238" w:lineRule="auto"/>
        <w:rPr>
          <w:sz w:val="20"/>
          <w:szCs w:val="20"/>
          <w:color w:val="auto"/>
        </w:rPr>
      </w:pPr>
      <w:r>
        <w:rPr>
          <w:rFonts w:ascii="Courier New" w:cs="Courier New" w:eastAsia="Courier New" w:hAnsi="Courier New"/>
          <w:sz w:val="18"/>
          <w:szCs w:val="18"/>
          <w:color w:val="auto"/>
        </w:rPr>
        <w:t>to be filed with the Securities and Exchange Commission, and delivering,</w:t>
      </w:r>
    </w:p>
    <w:p>
      <w:pPr>
        <w:spacing w:after="0"/>
        <w:rPr>
          <w:sz w:val="20"/>
          <w:szCs w:val="20"/>
          <w:color w:val="auto"/>
        </w:rPr>
      </w:pPr>
      <w:r>
        <w:rPr>
          <w:rFonts w:ascii="Courier New" w:cs="Courier New" w:eastAsia="Courier New" w:hAnsi="Courier New"/>
          <w:sz w:val="18"/>
          <w:szCs w:val="18"/>
          <w:color w:val="auto"/>
        </w:rPr>
        <w:t>furnishing or filing any such documents with the appropriate governmental</w:t>
      </w:r>
    </w:p>
    <w:p>
      <w:pPr>
        <w:ind w:right="1919"/>
        <w:spacing w:after="0" w:line="280" w:lineRule="auto"/>
        <w:rPr>
          <w:sz w:val="20"/>
          <w:szCs w:val="20"/>
          <w:color w:val="auto"/>
        </w:rPr>
      </w:pPr>
      <w:r>
        <w:rPr>
          <w:rFonts w:ascii="Courier New" w:cs="Courier New" w:eastAsia="Courier New" w:hAnsi="Courier New"/>
          <w:sz w:val="16"/>
          <w:szCs w:val="16"/>
          <w:color w:val="auto"/>
        </w:rPr>
        <w:t>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8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28th day of January, 2025 in respect of the subject matter hereof, shall be valid from the date hereof and shall remain in full force</w:t>
      </w:r>
    </w:p>
    <w:p>
      <w:pPr>
        <w:spacing w:after="0" w:line="2" w:lineRule="exact"/>
        <w:rPr>
          <w:sz w:val="20"/>
          <w:szCs w:val="20"/>
          <w:color w:val="auto"/>
        </w:rPr>
      </w:pPr>
    </w:p>
    <w:p>
      <w:pPr>
        <w:ind w:right="2439"/>
        <w:spacing w:after="0" w:line="273" w:lineRule="auto"/>
        <w:rPr>
          <w:sz w:val="20"/>
          <w:szCs w:val="20"/>
          <w:color w:val="auto"/>
        </w:rPr>
      </w:pPr>
      <w:r>
        <w:rPr>
          <w:rFonts w:ascii="Courier New" w:cs="Courier New" w:eastAsia="Courier New" w:hAnsi="Courier New"/>
          <w:sz w:val="18"/>
          <w:szCs w:val="18"/>
          <w:color w:val="auto"/>
        </w:rPr>
        <w:t>and effect until either revoked in writing by the Company, or, in respect of any attorney-in-fact named herein, until such person ceases to be an employee of the Company or one of its affiliates.</w:t>
      </w:r>
    </w:p>
    <w:p>
      <w:pPr>
        <w:spacing w:after="0" w:line="8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1st day of July,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PORTFOLIO MANAGEMENT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BlackRock Finance, Inc., its sole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2026-10-27T15:15:25Z</dcterms:created>
  <dcterms:modified xsi:type="dcterms:W3CDTF">2026-10-27T15:15:25Z</dcterms:modified>
</cp:coreProperties>
</file>