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obt-20260630x10q.htm"/>
        <w:bookmarkStart w:id="1" w:name="ksob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80" w:after="0"/>
        <w:ind w:left="0" w:right="0" w:hanging="0"/>
        <w:jc w:val="center"/>
        <w:rPr>
          <w:rFonts w:ascii="Times New Roman;Times;serif" w:hAnsi="Times New Roman;Times;serif"/>
          <w:b/>
          <w:sz w:val="34"/>
        </w:rPr>
      </w:pPr>
      <w:bookmarkStart w:id="2" w:name="_cd5d44e1_8297_4a36_a102_2c113032ee57"/>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TextBody"/>
        <w:pBdr/>
        <w:bidi w:val="0"/>
        <w:spacing w:before="0" w:after="60"/>
        <w:ind w:left="216" w:right="0" w:hanging="432"/>
        <w:jc w:val="left"/>
        <w:rPr/>
      </w:pPr>
      <w:r>
        <w:rPr/>
        <w:t>☒    </w:t>
      </w:r>
      <w:r>
        <w:rPr>
          <w:rFonts w:ascii="Times New Roman;Times;serif" w:hAnsi="Times New Roman;Times;serif"/>
          <w:b/>
          <w:sz w:val="22"/>
        </w:rPr>
        <w:t>QUARTERLY REPORT PURSUANT TO SECTION 13 OR 15(d) OF THE SECURITIES EXCHANGE ACT OF 1934</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18"/>
        </w:rPr>
        <w:t>For the quarterly period ended</w:t>
      </w:r>
      <w:r>
        <w:rPr>
          <w:rFonts w:ascii="Times New Roman;Times;serif" w:hAnsi="Times New Roman;Times;serif"/>
          <w:sz w:val="20"/>
        </w:rPr>
        <w:t xml:space="preserve"> </w:t>
      </w:r>
      <w:r>
        <w:rPr>
          <w:rFonts w:ascii="Times New Roman;Times;serif" w:hAnsi="Times New Roman;Times;serif"/>
          <w:b/>
          <w:sz w:val="18"/>
        </w:rPr>
        <w:t>June 30, 2026</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pBdr/>
        <w:bidi w:val="0"/>
        <w:spacing w:before="0" w:after="60"/>
        <w:ind w:left="216" w:right="0" w:hanging="432"/>
        <w:jc w:val="left"/>
        <w:rPr/>
      </w:pPr>
      <w:r>
        <w:rPr/>
        <w:t>☐    </w:t>
      </w:r>
      <w:r>
        <w:rPr>
          <w:rFonts w:ascii="Times New Roman;Times;serif" w:hAnsi="Times New Roman;Times;serif"/>
          <w:b/>
          <w:sz w:val="22"/>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001-40711</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Orange County Bancorp,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3" w:name="Tc_1QcxL_62b0e9s5u1fx_OHA_2_1"/>
      <w:bookmarkStart w:id="4" w:name="Tc_xLlwd4gIrk65A1sR6_jRaA_2_0"/>
      <w:bookmarkStart w:id="5" w:name="_ec82b271_2cb9_44af_a76a_f12a9dd70ca0"/>
      <w:bookmarkStart w:id="6" w:name="Tc_1QcxL_62b0e9s5u1fx_OHA_2_1"/>
      <w:bookmarkStart w:id="7" w:name="Tc_xLlwd4gIrk65A1sR6_jRaA_2_0"/>
      <w:bookmarkStart w:id="8" w:name="_ec82b271_2cb9_44af_a76a_f12a9dd70ca0"/>
      <w:bookmarkEnd w:id="6"/>
      <w:bookmarkEnd w:id="7"/>
      <w:bookmarkEnd w:id="8"/>
    </w:p>
    <w:tbl>
      <w:tblPr>
        <w:tblW w:w="4832" w:type="dxa"/>
        <w:jc w:val="left"/>
        <w:tblInd w:w="0" w:type="dxa"/>
        <w:tblLayout w:type="fixed"/>
        <w:tblCellMar>
          <w:top w:w="0" w:type="dxa"/>
          <w:left w:w="0" w:type="dxa"/>
          <w:bottom w:w="0" w:type="dxa"/>
          <w:right w:w="0" w:type="dxa"/>
        </w:tblCellMar>
      </w:tblPr>
      <w:tblGrid>
        <w:gridCol w:w="2746"/>
        <w:gridCol w:w="208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43710" cy="175260"/>
                      <wp:effectExtent l="0" t="0" r="0" b="0"/>
                      <wp:wrapNone/>
                      <wp:docPr id="1" name="Frame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324610" cy="175260"/>
                      <wp:effectExtent l="0" t="0" r="0" b="0"/>
                      <wp:wrapNone/>
                      <wp:docPr id="2" name="Frame2"/>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0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26-1135778</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20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212 Dolson Avenue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Middletown, New York</w:t>
      </w:r>
      <w:r>
        <w:rPr>
          <w:rFonts w:ascii="Times New Roman;Times;serif" w:hAnsi="Times New Roman;Times;serif"/>
          <w:sz w:val="20"/>
        </w:rPr>
        <w:t xml:space="preserve"> </w:t>
      </w:r>
      <w:r>
        <w:rPr>
          <w:rFonts w:ascii="Times New Roman;Times;serif" w:hAnsi="Times New Roman;Times;serif"/>
          <w:b/>
          <w:sz w:val="18"/>
        </w:rPr>
        <w:t>10940</w:t>
      </w:r>
    </w:p>
    <w:p>
      <w:pPr>
        <w:pStyle w:val="TextBody"/>
        <w:bidi w:val="0"/>
        <w:spacing w:before="0" w:after="16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(845) 341-5000</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(Registrant’s telephone number)</w:t>
      </w:r>
    </w:p>
    <w:p>
      <w:pPr>
        <w:pStyle w:val="TextBody"/>
        <w:bidi w:val="0"/>
        <w:spacing w:before="0" w:after="10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9" w:name="Tc_do1cHPhNskqhEYhycnzoSA_1_4"/>
      <w:bookmarkStart w:id="10" w:name="Tc_23jlhQV3p0ynX6IO6YWKug_1_2"/>
      <w:bookmarkStart w:id="11" w:name="Tc_ikgS5N8CGkmh_a11EEk7zw_1_0"/>
      <w:bookmarkStart w:id="12" w:name="_e7a371d4_070a_4ae3_9eb9_f9990ce791bb"/>
      <w:bookmarkStart w:id="13" w:name="Tc_do1cHPhNskqhEYhycnzoSA_1_4"/>
      <w:bookmarkStart w:id="14" w:name="Tc_23jlhQV3p0ynX6IO6YWKug_1_2"/>
      <w:bookmarkStart w:id="15" w:name="Tc_ikgS5N8CGkmh_a11EEk7zw_1_0"/>
      <w:bookmarkStart w:id="16" w:name="_e7a371d4_070a_4ae3_9eb9_f9990ce791bb"/>
      <w:bookmarkEnd w:id="13"/>
      <w:bookmarkEnd w:id="14"/>
      <w:bookmarkEnd w:id="15"/>
      <w:bookmarkEnd w:id="16"/>
    </w:p>
    <w:tbl>
      <w:tblPr>
        <w:tblW w:w="8036" w:type="dxa"/>
        <w:jc w:val="left"/>
        <w:tblInd w:w="0" w:type="dxa"/>
        <w:tblLayout w:type="fixed"/>
        <w:tblCellMar>
          <w:top w:w="0" w:type="dxa"/>
          <w:left w:w="0" w:type="dxa"/>
          <w:bottom w:w="0" w:type="dxa"/>
          <w:right w:w="0" w:type="dxa"/>
        </w:tblCellMar>
      </w:tblPr>
      <w:tblGrid>
        <w:gridCol w:w="3346"/>
        <w:gridCol w:w="109"/>
        <w:gridCol w:w="1336"/>
        <w:gridCol w:w="109"/>
        <w:gridCol w:w="3136"/>
      </w:tblGrid>
      <w:tr>
        <w:trPr/>
        <w:tc>
          <w:tcPr>
            <w:tcW w:w="334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13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3136" w:type="dxa"/>
            <w:tcBorders/>
            <w:vAlign w:val="center"/>
          </w:tcPr>
          <w:p>
            <w:pPr>
              <w:pStyle w:val="TableContents"/>
              <w:bidi w:val="0"/>
              <w:spacing w:before="0" w:after="240"/>
              <w:ind w:left="0" w:right="0" w:hanging="0"/>
              <w:jc w:val="left"/>
              <w:rPr/>
            </w:pPr>
            <w:r>
              <w:rPr/>
              <w:t>​</w:t>
            </w:r>
          </w:p>
        </w:tc>
      </w:tr>
      <w:tr>
        <w:trPr/>
        <w:tc>
          <w:tcPr>
            <w:tcW w:w="33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09" w:type="dxa"/>
            <w:tcBorders/>
            <w:vAlign w:val="center"/>
          </w:tcPr>
          <w:p>
            <w:pPr>
              <w:pStyle w:val="TableContents"/>
              <w:bidi w:val="0"/>
              <w:spacing w:before="0" w:after="240"/>
              <w:ind w:left="0" w:right="0" w:hanging="0"/>
              <w:jc w:val="center"/>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109" w:type="dxa"/>
            <w:tcBorders/>
            <w:vAlign w:val="center"/>
          </w:tcPr>
          <w:p>
            <w:pPr>
              <w:pStyle w:val="TableContents"/>
              <w:bidi w:val="0"/>
              <w:spacing w:before="0" w:after="240"/>
              <w:ind w:left="0" w:right="0" w:hanging="0"/>
              <w:jc w:val="center"/>
              <w:rPr/>
            </w:pPr>
            <w:r>
              <w:rPr/>
              <w:t>​</w:t>
            </w:r>
          </w:p>
        </w:tc>
        <w:tc>
          <w:tcPr>
            <w:tcW w:w="31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Exchange on which registered</w:t>
            </w:r>
          </w:p>
        </w:tc>
      </w:tr>
      <w:tr>
        <w:trPr/>
        <w:tc>
          <w:tcPr>
            <w:tcW w:w="33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par value $0.25 per share</w:t>
            </w:r>
          </w:p>
        </w:tc>
        <w:tc>
          <w:tcPr>
            <w:tcW w:w="109" w:type="dxa"/>
            <w:tcBorders/>
            <w:vAlign w:val="center"/>
          </w:tcPr>
          <w:p>
            <w:pPr>
              <w:pStyle w:val="TableContents"/>
              <w:bidi w:val="0"/>
              <w:spacing w:before="0" w:after="240"/>
              <w:ind w:left="0" w:right="0" w:hanging="0"/>
              <w:jc w:val="center"/>
              <w:rPr/>
            </w:pPr>
            <w:r>
              <w:rPr/>
              <w:t>​</w:t>
            </w:r>
          </w:p>
        </w:tc>
        <w:tc>
          <w:tcPr>
            <w:tcW w:w="13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OBT</w:t>
            </w:r>
          </w:p>
        </w:tc>
        <w:tc>
          <w:tcPr>
            <w:tcW w:w="109" w:type="dxa"/>
            <w:tcBorders/>
            <w:vAlign w:val="center"/>
          </w:tcPr>
          <w:p>
            <w:pPr>
              <w:pStyle w:val="TableContents"/>
              <w:bidi w:val="0"/>
              <w:spacing w:before="0" w:after="240"/>
              <w:ind w:left="0" w:right="0" w:hanging="0"/>
              <w:jc w:val="center"/>
              <w:rPr/>
            </w:pPr>
            <w:r>
              <w:rPr/>
              <w:t>​</w:t>
            </w:r>
          </w:p>
        </w:tc>
        <w:tc>
          <w:tcPr>
            <w:tcW w:w="31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r>
          </w:p>
        </w:tc>
      </w:tr>
    </w:tbl>
    <w:p>
      <w:pPr>
        <w:pStyle w:val="TextBody"/>
        <w:bidi w:val="0"/>
        <w:spacing w:before="0" w:after="24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dRIUHvLX-0KJPlNCBnIsfQ_2_4"/>
      <w:bookmarkStart w:id="18" w:name="Tc_URfJfxLRyUWvruhy4cv1-w_2_2"/>
      <w:bookmarkStart w:id="19" w:name="Tc_V3zdSK9TLUik8fgAKFRupQ_2_1"/>
      <w:bookmarkStart w:id="20" w:name="Tc_hB8GGdfKJ0-zL9luwysHPQ_2_0"/>
      <w:bookmarkStart w:id="21" w:name="Tc_xkYU9UR24Uyj8RmNXURNxA_0_3"/>
      <w:bookmarkStart w:id="22" w:name="Tc_9u-iHEBTXU-3Xuw1UP70Hg_0_1"/>
      <w:bookmarkStart w:id="23" w:name="Tc_8vMu6C9Cpk-ZgcRwsuC49w_0_0"/>
      <w:bookmarkStart w:id="24" w:name="_184f54d6_fbdd_4991_981a_a9f853d8dd76"/>
      <w:bookmarkStart w:id="25" w:name="Tc_dRIUHvLX-0KJPlNCBnIsfQ_2_4"/>
      <w:bookmarkStart w:id="26" w:name="Tc_URfJfxLRyUWvruhy4cv1-w_2_2"/>
      <w:bookmarkStart w:id="27" w:name="Tc_V3zdSK9TLUik8fgAKFRupQ_2_1"/>
      <w:bookmarkStart w:id="28" w:name="Tc_hB8GGdfKJ0-zL9luwysHPQ_2_0"/>
      <w:bookmarkStart w:id="29" w:name="Tc_xkYU9UR24Uyj8RmNXURNxA_0_3"/>
      <w:bookmarkStart w:id="30" w:name="Tc_9u-iHEBTXU-3Xuw1UP70Hg_0_1"/>
      <w:bookmarkStart w:id="31" w:name="Tc_8vMu6C9Cpk-ZgcRwsuC49w_0_0"/>
      <w:bookmarkStart w:id="32" w:name="_184f54d6_fbdd_4991_981a_a9f853d8dd76"/>
      <w:bookmarkEnd w:id="25"/>
      <w:bookmarkEnd w:id="26"/>
      <w:bookmarkEnd w:id="27"/>
      <w:bookmarkEnd w:id="28"/>
      <w:bookmarkEnd w:id="29"/>
      <w:bookmarkEnd w:id="30"/>
      <w:bookmarkEnd w:id="31"/>
      <w:bookmarkEnd w:id="32"/>
    </w:p>
    <w:tbl>
      <w:tblPr>
        <w:tblW w:w="7536" w:type="dxa"/>
        <w:jc w:val="left"/>
        <w:tblInd w:w="0" w:type="dxa"/>
        <w:tblLayout w:type="fixed"/>
        <w:tblCellMar>
          <w:top w:w="0" w:type="dxa"/>
          <w:left w:w="0" w:type="dxa"/>
          <w:bottom w:w="0" w:type="dxa"/>
          <w:right w:w="0" w:type="dxa"/>
        </w:tblCellMar>
      </w:tblPr>
      <w:tblGrid>
        <w:gridCol w:w="1921"/>
        <w:gridCol w:w="316"/>
        <w:gridCol w:w="231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80"/>
        <w:ind w:left="0" w:right="0" w:firstLine="360"/>
        <w:jc w:val="left"/>
        <w:rPr>
          <w:rFonts w:ascii="Times New Roman;Times;serif" w:hAnsi="Times New Roman;Times;serif"/>
          <w:sz w:val="18"/>
        </w:rPr>
      </w:pPr>
      <w:r>
        <w:rPr>
          <w:rFonts w:ascii="Times New Roman;Times;serif" w:hAnsi="Times New Roman;Times;serif"/>
          <w:sz w:val="18"/>
        </w:rPr>
        <w:t>As of August 5, 2026, there were 13,407,963 shares of the registrant’s common stock outstanding.</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TOC"/>
      <w:bookmarkStart w:id="34" w:name="_b8cd582d_7822_4577_a14b_2692ccaea2d1"/>
      <w:bookmarkEnd w:id="33"/>
      <w:bookmarkEnd w:id="3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1246"/>
        <w:gridCol w:w="346"/>
        <w:gridCol w:w="7756"/>
        <w:gridCol w:w="346"/>
        <w:gridCol w:w="51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91210" cy="175260"/>
                      <wp:effectExtent l="0" t="0" r="0" b="0"/>
                      <wp:wrapNone/>
                      <wp:docPr id="3" name="Frame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25060" cy="175260"/>
                      <wp:effectExtent l="0" t="0" r="0" b="0"/>
                      <wp:wrapNone/>
                      <wp:docPr id="4" name="Frame4"/>
                      <a:graphic xmlns:a="http://schemas.openxmlformats.org/drawingml/2006/main">
                        <a:graphicData uri="http://schemas.microsoft.com/office/word/2010/wordprocessingShape">
                          <wps:wsp>
                            <wps:cNvSpPr txBox="1"/>
                            <wps:spPr>
                              <a:xfrm>
                                <a:off x="0" y="0"/>
                                <a:ext cx="492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175260"/>
                      <wp:effectExtent l="0" t="0" r="0" b="0"/>
                      <wp:wrapNone/>
                      <wp:docPr id="5" name="Frame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6" w:type="dxa"/>
            <w:tcBorders/>
            <w:vAlign w:val="center"/>
          </w:tcPr>
          <w:p>
            <w:pPr>
              <w:pStyle w:val="TableContents"/>
              <w:bidi w:val="0"/>
              <w:spacing w:before="0" w:after="0"/>
              <w:ind w:left="0" w:right="0" w:hanging="0"/>
              <w:jc w:val="left"/>
              <w:rPr/>
            </w:pPr>
            <w:hyperlink w:anchor="PARTIFINANCIALINFORMATION_754887">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PARTIFINANCIALINFORMATION_754887">
              <w:r>
                <w:rPr>
                  <w:rStyle w:val="InternetLink"/>
                  <w:rFonts w:ascii="Times New Roman;Times;serif" w:hAnsi="Times New Roman;Times;serif"/>
                  <w:b/>
                  <w:i w:val="false"/>
                  <w:caps w:val="false"/>
                  <w:smallCaps w:val="false"/>
                  <w:sz w:val="20"/>
                </w:rPr>
                <w:t>Financial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1FinancialStatements_333507">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1FinancialStatements_333507">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CondensedConsolidatedBalanceSheets_99472">
              <w:r>
                <w:rPr>
                  <w:rStyle w:val="InternetLink"/>
                  <w:rFonts w:ascii="Times New Roman;Times;serif" w:hAnsi="Times New Roman;Times;serif"/>
                  <w:b w:val="false"/>
                  <w:i w:val="false"/>
                  <w:caps w:val="false"/>
                  <w:smallCaps w:val="false"/>
                  <w:sz w:val="20"/>
                </w:rPr>
                <w:t xml:space="preserve">Condensed Consolidated Statements of Condition as of June 30, 2026 (Unaudited) and December 31, 2025 </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Income for the three and six months ended June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for the three and six months ended June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Note1SummaryofSignificantAccountingPolic">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4ControlsandProcedures_780845">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4ControlsandProcedures_780845">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PARTIIOTHERINFORMATION_847820">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PARTIIOTHERINFORMATION_847820">
              <w:r>
                <w:rPr>
                  <w:rStyle w:val="InternetLink"/>
                  <w:rFonts w:ascii="Times New Roman;Times;serif" w:hAnsi="Times New Roman;Times;serif"/>
                  <w:b/>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1LegalProceedings_915942">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1LegalProceedings_915942">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1ARiskFactors_68588">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1ARiskFactors_68588">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3DefaultsUponSeniorSecurities_430479">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3DefaultsUponSeniorSecurities_430479">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4MineSafetyDisclosures_754929">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4MineSafetyDisclosures_754929">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5OtherInformation_405938">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5OtherInformation_405938">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Item6Exhibits_505738">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hyperlink w:anchor="Item6Exhibits_505738">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EXHIBITINDEX_589028">
              <w:r>
                <w:rPr>
                  <w:rStyle w:val="InternetLink"/>
                  <w:rFonts w:ascii="Times New Roman;Times;serif" w:hAnsi="Times New Roman;Times;serif"/>
                  <w:b w:val="false"/>
                  <w:i w:val="false"/>
                  <w:caps w:val="false"/>
                  <w:smallCaps w:val="false"/>
                  <w:sz w:val="20"/>
                </w:rPr>
                <w:t>Exhibit Index</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1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1246" w:type="dxa"/>
            <w:tcBorders/>
            <w:vAlign w:val="center"/>
          </w:tcPr>
          <w:p>
            <w:pPr>
              <w:pStyle w:val="TableContents"/>
              <w:bidi w:val="0"/>
              <w:spacing w:before="0" w:after="0"/>
              <w:ind w:left="0" w:right="0" w:hanging="0"/>
              <w:jc w:val="left"/>
              <w:rPr/>
            </w:pPr>
            <w:hyperlink w:anchor="SIGNATURES_719484">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7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PARTIFINANCIALINFORMATION_754887"/>
      <w:bookmarkStart w:id="36" w:name="_c358ba88_f4a1_4791_a52a_b2eee9d7c3db"/>
      <w:bookmarkEnd w:id="35"/>
      <w:bookmarkEnd w:id="36"/>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37" w:name="Item1FinancialStatements_333507"/>
      <w:bookmarkEnd w:id="37"/>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ORANGE COUNTY BANCORP, INC.</w:t>
      </w:r>
    </w:p>
    <w:p>
      <w:pPr>
        <w:pStyle w:val="TextBody"/>
        <w:bidi w:val="0"/>
        <w:spacing w:before="0" w:after="0"/>
        <w:ind w:left="0" w:right="0" w:hanging="0"/>
        <w:jc w:val="center"/>
        <w:rPr>
          <w:rFonts w:ascii="Times New Roman;Times;serif" w:hAnsi="Times New Roman;Times;serif"/>
          <w:b/>
          <w:sz w:val="20"/>
        </w:rPr>
      </w:pPr>
      <w:bookmarkStart w:id="38" w:name="CondensedConsolidatedBalanceSheets_99472"/>
      <w:bookmarkEnd w:id="38"/>
      <w:r>
        <w:rPr>
          <w:rFonts w:ascii="Times New Roman;Times;serif" w:hAnsi="Times New Roman;Times;serif"/>
          <w:b/>
          <w:sz w:val="20"/>
        </w:rPr>
        <w:t>CONDENSED CONSOLIDATED STATEMENTS OF CONDITION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 amounts 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9" w:name="Tc_3djTDq1vuU-Eh0389sr1xg_33_5"/>
      <w:bookmarkStart w:id="40" w:name="Tc_PFCjo_T0ZUajyefZmaVTLQ_33_2"/>
      <w:bookmarkStart w:id="41" w:name="Tc_FmDmFuFMyUm0lMeDP8O5hA_33_0"/>
      <w:bookmarkStart w:id="42" w:name="Tc_TGeIJtX8dE2jLZm1EuJBBw_32_0"/>
      <w:bookmarkStart w:id="43" w:name="Tc_Lb4mRgylakKTgFLw73guww_31_0"/>
      <w:bookmarkStart w:id="44" w:name="Tc_Fml5mDbVz0OG1zfL8JPyiA_30_0"/>
      <w:bookmarkStart w:id="45" w:name="Tc_dEAd57mPak6VgcNHKmV1Pw_29_0"/>
      <w:bookmarkStart w:id="46" w:name="Tc_WJGBAIsdE0uE7dvOjyB0Pw_28_0"/>
      <w:bookmarkStart w:id="47" w:name="Tc_plKL3AS-E0ORPR_TH1m75Q_27_0"/>
      <w:bookmarkStart w:id="48" w:name="Tc_zsIgwIh0A0GacFFYQj-Hew_26_0"/>
      <w:bookmarkStart w:id="49" w:name="Tc_9sXTpWL3Qk6VWC4wT9ubJg_25_0"/>
      <w:bookmarkStart w:id="50" w:name="Tc_f-WjukrphUqigiaHSU5NQA_24_0"/>
      <w:bookmarkStart w:id="51" w:name="Tc_YHeGbnzqFE-sKB6LONcT3w_23_0"/>
      <w:bookmarkStart w:id="52" w:name="Tc_XNwa40jIEkirSQ77_2Z6qQ_22_0"/>
      <w:bookmarkStart w:id="53" w:name="Tc_bSfbG0agg0-t8iFycbO2KQ_21_0"/>
      <w:bookmarkStart w:id="54" w:name="Tc_761ZalMeTkeNDKcM0yEp9g_20_0"/>
      <w:bookmarkStart w:id="55" w:name="Tc_JlBzm1vBuE6IZbFfIyMmWA_19_5"/>
      <w:bookmarkStart w:id="56" w:name="Tc_juJIpbuuNUWGvcBKt1IOcQ_19_2"/>
      <w:bookmarkStart w:id="57" w:name="Tc_fHy9zs3LVUGVSjNI7Irj-g_19_0"/>
      <w:bookmarkStart w:id="58" w:name="Tc_6hRkq_fO0UyCQDtW6wfIng_18_0"/>
      <w:bookmarkStart w:id="59" w:name="Tc_cYcCS4xQxE63lsABUFZlag_17_0"/>
      <w:bookmarkStart w:id="60" w:name="Tc_QPcOVix08EuYp0DVqYKdDg_16_5"/>
      <w:bookmarkStart w:id="61" w:name="Tc_TWpT1Rkyt0Wo5NsIhh_Gkg_16_2"/>
      <w:bookmarkStart w:id="62" w:name="Tc_CTeW_QHJi06cB13bgDIk-w_16_0"/>
      <w:bookmarkStart w:id="63" w:name="Tc_lVzN6EZW_k6A2NRSb0kd5Q_15_0"/>
      <w:bookmarkStart w:id="64" w:name="Tc_ENa9MQni20i6u6tp6Qq6VA_14_0"/>
      <w:bookmarkStart w:id="65" w:name="Tc_UgQ3dZkWkEmDaSDw02vqFQ_13_0"/>
      <w:bookmarkStart w:id="66" w:name="Tc_lMEoBe2gVkGPBdX1u1XrBQ_12_0"/>
      <w:bookmarkStart w:id="67" w:name="Tc_PNJUZCjFzEC6Hyz6NgjP8Q_11_0"/>
      <w:bookmarkStart w:id="68" w:name="Tc_ljDk1Gf-K02BEgScAdFT_w_10_0"/>
      <w:bookmarkStart w:id="69" w:name="Tc_Vzz1j-oivU2UMEuXRP3-ZQ_9_0"/>
      <w:bookmarkStart w:id="70" w:name="Tc_8V_2T6CMmEevFzxXwKZL3Q_8_0"/>
      <w:bookmarkStart w:id="71" w:name="Tc_ejvESgf_6UC30IeiBx02lw_7_0"/>
      <w:bookmarkStart w:id="72" w:name="Tc_JdNjmWRp90mXGUj2JSN3OQ_6_6"/>
      <w:bookmarkStart w:id="73" w:name="Tc_8hTO2wo4c0KL5xApSO2XQQ_6_0"/>
      <w:bookmarkStart w:id="74" w:name="Tc_IF6ucmY4C0innEO8sBoi2Q_5_0"/>
      <w:bookmarkStart w:id="75" w:name="Tc_U3Aq_LBqwky7opysj7myaQ_4_0"/>
      <w:bookmarkStart w:id="76" w:name="Tc_TmgBMeqoJESXZ7SNB__1cw_3_5"/>
      <w:bookmarkStart w:id="77" w:name="Tc_coXy5oQqPUGN5hlQPW7kow_3_2"/>
      <w:bookmarkStart w:id="78" w:name="Tc_GkXnEDsfiEOLtZpeD-zANQ_3_0"/>
      <w:bookmarkStart w:id="79" w:name="Tc_LG_YLzCYMEOdbgQZmK1abg_2_0"/>
      <w:bookmarkStart w:id="80" w:name="Tc_rUlYrS45Qk-lZm2SVS9M4g_1_5"/>
      <w:bookmarkStart w:id="81" w:name="Tc_WfLjVYpQTUeGF_arRjyonw_1_2"/>
      <w:bookmarkStart w:id="82" w:name="_c908b3b8_feda_40e0_8b32_ef48803b9729"/>
      <w:bookmarkStart w:id="83" w:name="Tc_3djTDq1vuU-Eh0389sr1xg_33_5"/>
      <w:bookmarkStart w:id="84" w:name="Tc_PFCjo_T0ZUajyefZmaVTLQ_33_2"/>
      <w:bookmarkStart w:id="85" w:name="Tc_FmDmFuFMyUm0lMeDP8O5hA_33_0"/>
      <w:bookmarkStart w:id="86" w:name="Tc_TGeIJtX8dE2jLZm1EuJBBw_32_0"/>
      <w:bookmarkStart w:id="87" w:name="Tc_Lb4mRgylakKTgFLw73guww_31_0"/>
      <w:bookmarkStart w:id="88" w:name="Tc_Fml5mDbVz0OG1zfL8JPyiA_30_0"/>
      <w:bookmarkStart w:id="89" w:name="Tc_dEAd57mPak6VgcNHKmV1Pw_29_0"/>
      <w:bookmarkStart w:id="90" w:name="Tc_WJGBAIsdE0uE7dvOjyB0Pw_28_0"/>
      <w:bookmarkStart w:id="91" w:name="Tc_plKL3AS-E0ORPR_TH1m75Q_27_0"/>
      <w:bookmarkStart w:id="92" w:name="Tc_zsIgwIh0A0GacFFYQj-Hew_26_0"/>
      <w:bookmarkStart w:id="93" w:name="Tc_9sXTpWL3Qk6VWC4wT9ubJg_25_0"/>
      <w:bookmarkStart w:id="94" w:name="Tc_f-WjukrphUqigiaHSU5NQA_24_0"/>
      <w:bookmarkStart w:id="95" w:name="Tc_YHeGbnzqFE-sKB6LONcT3w_23_0"/>
      <w:bookmarkStart w:id="96" w:name="Tc_XNwa40jIEkirSQ77_2Z6qQ_22_0"/>
      <w:bookmarkStart w:id="97" w:name="Tc_bSfbG0agg0-t8iFycbO2KQ_21_0"/>
      <w:bookmarkStart w:id="98" w:name="Tc_761ZalMeTkeNDKcM0yEp9g_20_0"/>
      <w:bookmarkStart w:id="99" w:name="Tc_JlBzm1vBuE6IZbFfIyMmWA_19_5"/>
      <w:bookmarkStart w:id="100" w:name="Tc_juJIpbuuNUWGvcBKt1IOcQ_19_2"/>
      <w:bookmarkStart w:id="101" w:name="Tc_fHy9zs3LVUGVSjNI7Irj-g_19_0"/>
      <w:bookmarkStart w:id="102" w:name="Tc_6hRkq_fO0UyCQDtW6wfIng_18_0"/>
      <w:bookmarkStart w:id="103" w:name="Tc_cYcCS4xQxE63lsABUFZlag_17_0"/>
      <w:bookmarkStart w:id="104" w:name="Tc_QPcOVix08EuYp0DVqYKdDg_16_5"/>
      <w:bookmarkStart w:id="105" w:name="Tc_TWpT1Rkyt0Wo5NsIhh_Gkg_16_2"/>
      <w:bookmarkStart w:id="106" w:name="Tc_CTeW_QHJi06cB13bgDIk-w_16_0"/>
      <w:bookmarkStart w:id="107" w:name="Tc_lVzN6EZW_k6A2NRSb0kd5Q_15_0"/>
      <w:bookmarkStart w:id="108" w:name="Tc_ENa9MQni20i6u6tp6Qq6VA_14_0"/>
      <w:bookmarkStart w:id="109" w:name="Tc_UgQ3dZkWkEmDaSDw02vqFQ_13_0"/>
      <w:bookmarkStart w:id="110" w:name="Tc_lMEoBe2gVkGPBdX1u1XrBQ_12_0"/>
      <w:bookmarkStart w:id="111" w:name="Tc_PNJUZCjFzEC6Hyz6NgjP8Q_11_0"/>
      <w:bookmarkStart w:id="112" w:name="Tc_ljDk1Gf-K02BEgScAdFT_w_10_0"/>
      <w:bookmarkStart w:id="113" w:name="Tc_Vzz1j-oivU2UMEuXRP3-ZQ_9_0"/>
      <w:bookmarkStart w:id="114" w:name="Tc_8V_2T6CMmEevFzxXwKZL3Q_8_0"/>
      <w:bookmarkStart w:id="115" w:name="Tc_ejvESgf_6UC30IeiBx02lw_7_0"/>
      <w:bookmarkStart w:id="116" w:name="Tc_JdNjmWRp90mXGUj2JSN3OQ_6_6"/>
      <w:bookmarkStart w:id="117" w:name="Tc_8hTO2wo4c0KL5xApSO2XQQ_6_0"/>
      <w:bookmarkStart w:id="118" w:name="Tc_IF6ucmY4C0innEO8sBoi2Q_5_0"/>
      <w:bookmarkStart w:id="119" w:name="Tc_U3Aq_LBqwky7opysj7myaQ_4_0"/>
      <w:bookmarkStart w:id="120" w:name="Tc_TmgBMeqoJESXZ7SNB__1cw_3_5"/>
      <w:bookmarkStart w:id="121" w:name="Tc_coXy5oQqPUGN5hlQPW7kow_3_2"/>
      <w:bookmarkStart w:id="122" w:name="Tc_GkXnEDsfiEOLtZpeD-zANQ_3_0"/>
      <w:bookmarkStart w:id="123" w:name="Tc_LG_YLzCYMEOdbgQZmK1abg_2_0"/>
      <w:bookmarkStart w:id="124" w:name="Tc_rUlYrS45Qk-lZm2SVS9M4g_1_5"/>
      <w:bookmarkStart w:id="125" w:name="Tc_WfLjVYpQTUeGF_arRjyonw_1_2"/>
      <w:bookmarkStart w:id="126" w:name="_c908b3b8_feda_40e0_8b32_ef48803b9729"/>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10205" w:type="dxa"/>
        <w:jc w:val="left"/>
        <w:tblInd w:w="0" w:type="dxa"/>
        <w:tblLayout w:type="fixed"/>
        <w:tblCellMar>
          <w:top w:w="0" w:type="dxa"/>
          <w:left w:w="0" w:type="dxa"/>
          <w:bottom w:w="0" w:type="dxa"/>
          <w:right w:w="0" w:type="dxa"/>
        </w:tblCellMar>
      </w:tblPr>
      <w:tblGrid>
        <w:gridCol w:w="7076"/>
        <w:gridCol w:w="346"/>
        <w:gridCol w:w="215"/>
        <w:gridCol w:w="911"/>
        <w:gridCol w:w="346"/>
        <w:gridCol w:w="227"/>
        <w:gridCol w:w="1084"/>
      </w:tblGrid>
      <w:tr>
        <w:trPr/>
        <w:tc>
          <w:tcPr>
            <w:tcW w:w="7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493260" cy="175260"/>
                      <wp:effectExtent l="0" t="0" r="0" b="0"/>
                      <wp:wrapNone/>
                      <wp:docPr id="6" name="Frame6"/>
                      <a:graphic xmlns:a="http://schemas.openxmlformats.org/drawingml/2006/main">
                        <a:graphicData uri="http://schemas.microsoft.com/office/word/2010/wordprocessingShape">
                          <wps:wsp>
                            <wps:cNvSpPr txBox="1"/>
                            <wps:spPr>
                              <a:xfrm>
                                <a:off x="0" y="0"/>
                                <a:ext cx="449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6525" cy="175260"/>
                      <wp:effectExtent l="0" t="0" r="0" b="0"/>
                      <wp:wrapNone/>
                      <wp:docPr id="8" name="Frame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78485" cy="175260"/>
                      <wp:effectExtent l="0" t="0" r="0" b="0"/>
                      <wp:wrapNone/>
                      <wp:docPr id="9" name="Frame9"/>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4145" cy="175260"/>
                      <wp:effectExtent l="0" t="0" r="0" b="0"/>
                      <wp:wrapNone/>
                      <wp:docPr id="11" name="Frame1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88340" cy="175260"/>
                      <wp:effectExtent l="0" t="0" r="0" b="0"/>
                      <wp:wrapNone/>
                      <wp:docPr id="12" name="Frame12"/>
                      <a:graphic xmlns:a="http://schemas.openxmlformats.org/drawingml/2006/main">
                        <a:graphicData uri="http://schemas.microsoft.com/office/word/2010/wordprocessingShape">
                          <wps:wsp>
                            <wps:cNvSpPr txBox="1"/>
                            <wps:spPr>
                              <a:xfrm>
                                <a:off x="0" y="0"/>
                                <a:ext cx="688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3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center"/>
              <w:rPr/>
            </w:pPr>
            <w:r>
              <w:rPr/>
              <w:t>​</w:t>
            </w:r>
          </w:p>
        </w:tc>
        <w:tc>
          <w:tcPr>
            <w:tcW w:w="215" w:type="dxa"/>
            <w:tcBorders/>
            <w:shd w:fill="CCEEFF" w:val="clear"/>
            <w:vAlign w:val="center"/>
          </w:tcPr>
          <w:p>
            <w:pPr>
              <w:pStyle w:val="TableContents"/>
              <w:bidi w:val="0"/>
              <w:spacing w:before="0" w:after="1"/>
              <w:ind w:left="0" w:right="0" w:hanging="0"/>
              <w:jc w:val="center"/>
              <w:rPr/>
            </w:pPr>
            <w:r>
              <w:rPr/>
              <w:t>​</w:t>
            </w:r>
          </w:p>
        </w:tc>
        <w:tc>
          <w:tcPr>
            <w:tcW w:w="9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7" w:type="dxa"/>
            <w:tcBorders/>
            <w:shd w:fill="CCEEFF" w:val="clear"/>
            <w:vAlign w:val="center"/>
          </w:tcPr>
          <w:p>
            <w:pPr>
              <w:pStyle w:val="TableContents"/>
              <w:bidi w:val="0"/>
              <w:spacing w:before="0" w:after="1"/>
              <w:ind w:left="0" w:right="0" w:hanging="0"/>
              <w:jc w:val="center"/>
              <w:rPr/>
            </w:pPr>
            <w:r>
              <w:rPr/>
              <w:t>​</w:t>
            </w:r>
          </w:p>
        </w:tc>
        <w:tc>
          <w:tcPr>
            <w:tcW w:w="1084" w:type="dxa"/>
            <w:tcBorders/>
            <w:shd w:fill="CCEEFF" w:val="clear"/>
            <w:vAlign w:val="center"/>
          </w:tcPr>
          <w:p>
            <w:pPr>
              <w:pStyle w:val="TableContents"/>
              <w:bidi w:val="0"/>
              <w:spacing w:before="0" w:after="1"/>
              <w:ind w:left="0" w:right="0" w:hanging="0"/>
              <w:jc w:val="center"/>
              <w:rPr/>
            </w:pPr>
            <w:r>
              <w:rPr/>
              <w:t>​</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due from banks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334,925</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204,232</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securities – available-for-sale</w:t>
              <w:br/>
              <w:t>(amortized cost $450,934, net of allowance for credit losses of $0 at June 30, 2026 and $472,097, net of allowance for credit losses of $0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395,906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419,406</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investment in bank stocks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6,024</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5,917</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held-for-sale</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63,594</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84" w:type="dxa"/>
            <w:tcBorders/>
            <w:shd w:fill="CCEEFF" w:val="clear"/>
            <w:vAlign w:val="center"/>
          </w:tcPr>
          <w:p>
            <w:pPr>
              <w:pStyle w:val="TableContents"/>
              <w:bidi w:val="0"/>
              <w:spacing w:before="0" w:after="1"/>
              <w:ind w:left="0" w:right="0" w:hanging="0"/>
              <w:jc w:val="right"/>
              <w:rPr/>
            </w:pPr>
            <w:r>
              <w:rPr/>
              <w:t>—</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1,910,262</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1,950,284</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Allowance for credit losses </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(26,339)</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(28,335)</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net</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1,883,923</w:t>
            </w:r>
          </w:p>
        </w:tc>
        <w:tc>
          <w:tcPr>
            <w:tcW w:w="346"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right"/>
              <w:rPr/>
            </w:pPr>
            <w:r>
              <w:rPr/>
              <w:t>​</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1,921,949</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Premises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15,459</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15,482</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10,788</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10,383</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Bank owned life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32,965</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32,578</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5,359</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5,359</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51,035</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43,536</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2,800,371</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2,659,377</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9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84" w:type="dxa"/>
            <w:tcBorders/>
            <w:vAlign w:val="center"/>
          </w:tcPr>
          <w:p>
            <w:pPr>
              <w:pStyle w:val="TableContents"/>
              <w:bidi w:val="0"/>
              <w:spacing w:before="0" w:after="1"/>
              <w:ind w:left="0" w:right="0" w:hanging="0"/>
              <w:jc w:val="right"/>
              <w:rPr/>
            </w:pPr>
            <w:r>
              <w:rPr/>
              <w:t>​</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84" w:type="dxa"/>
            <w:tcBorders/>
            <w:shd w:fill="CCEEFF" w:val="clear"/>
            <w:vAlign w:val="center"/>
          </w:tcPr>
          <w:p>
            <w:pPr>
              <w:pStyle w:val="TableContents"/>
              <w:bidi w:val="0"/>
              <w:spacing w:before="0" w:after="1"/>
              <w:ind w:left="0" w:right="0" w:hanging="0"/>
              <w:jc w:val="right"/>
              <w:rPr/>
            </w:pPr>
            <w:r>
              <w:rPr/>
              <w:t>​</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 bearing</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793,908</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725,656</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bearing</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1,637,283</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1,584,717</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deposits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2,431,191</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2,310,373</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FHLB advances, long term</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Subordinated notes, net of issuance costs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24,603</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24,555</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27,949</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30,085</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2,493,743</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2,375,013</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9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84" w:type="dxa"/>
            <w:tcBorders/>
            <w:shd w:fill="CCEEFF" w:val="clear"/>
            <w:vAlign w:val="center"/>
          </w:tcPr>
          <w:p>
            <w:pPr>
              <w:pStyle w:val="TableContents"/>
              <w:bidi w:val="0"/>
              <w:spacing w:before="0" w:after="1"/>
              <w:ind w:left="0" w:right="0" w:hanging="0"/>
              <w:jc w:val="right"/>
              <w:rPr/>
            </w:pPr>
            <w:r>
              <w:rPr/>
              <w:t>​</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$0.25 par value; 30,000,000 shares authorized; 13,415,921 and 13,376,464 issued; 13,407,904 and 13,368,447 outstanding, at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3,354</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3,344</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Surplus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168,162</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164,592</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184,557</w:t>
            </w:r>
          </w:p>
        </w:tc>
        <w:tc>
          <w:tcPr>
            <w:tcW w:w="34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164,434</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 net of taxes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(49,246)</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(47,807)</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Treasury stock, at cost; 8,017 shares at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w:t>
            </w:r>
          </w:p>
        </w:tc>
      </w:tr>
      <w:tr>
        <w:trPr/>
        <w:tc>
          <w:tcPr>
            <w:tcW w:w="7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306,628</w:t>
            </w:r>
          </w:p>
        </w:tc>
        <w:tc>
          <w:tcPr>
            <w:tcW w:w="34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284,364</w:t>
            </w:r>
          </w:p>
        </w:tc>
      </w:tr>
      <w:tr>
        <w:trPr/>
        <w:tc>
          <w:tcPr>
            <w:tcW w:w="7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2,800,371</w:t>
            </w:r>
          </w:p>
        </w:tc>
        <w:tc>
          <w:tcPr>
            <w:tcW w:w="34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2,659,377</w:t>
            </w:r>
          </w:p>
        </w:tc>
      </w:tr>
    </w:tbl>
    <w:p>
      <w:pPr>
        <w:pStyle w:val="TextBody"/>
        <w:bidi w:val="0"/>
        <w:spacing w:before="0" w:after="240"/>
        <w:ind w:left="0" w:right="0" w:hanging="0"/>
        <w:jc w:val="center"/>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24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7" w:name="_8340977f_c4ea_4b86_9020_c2aa5677ddf4"/>
      <w:bookmarkEnd w:id="127"/>
      <w:r>
        <w:rPr>
          <w:rFonts w:ascii="Times New Roman;Times;serif" w:hAnsi="Times New Roman;Times;serif"/>
          <w:b/>
          <w:sz w:val="20"/>
        </w:rPr>
        <w:t>ORANGE COUNTY BANCORP, INC.</w:t>
      </w:r>
    </w:p>
    <w:p>
      <w:pPr>
        <w:pStyle w:val="TextBody"/>
        <w:bidi w:val="0"/>
        <w:spacing w:before="0" w:after="0"/>
        <w:ind w:left="0" w:right="0" w:hanging="0"/>
        <w:jc w:val="center"/>
        <w:rPr>
          <w:rFonts w:ascii="Times New Roman;Times;serif" w:hAnsi="Times New Roman;Times;serif"/>
          <w:b/>
          <w:sz w:val="20"/>
        </w:rPr>
      </w:pPr>
      <w:bookmarkStart w:id="128" w:name="CondensedConsolidatedStatementsofOperati"/>
      <w:bookmarkEnd w:id="128"/>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 amounts in thousands except per share data)</w:t>
      </w:r>
    </w:p>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129" w:name="Tc_LHTxu45DSESXfYs9D02E6Q_50_0"/>
      <w:bookmarkStart w:id="130" w:name="Tc_XieAQmlzfk-f0rikcIwMTQ_49_11"/>
      <w:bookmarkStart w:id="131" w:name="Tc_pGzzPeJTp06miDkqoEbA7Q_49_8"/>
      <w:bookmarkStart w:id="132" w:name="Tc_v6dxIK5Aq0eZTNAsIZO0Vg_49_5"/>
      <w:bookmarkStart w:id="133" w:name="Tc_uo5GQU6l1E66OKgTtYSXmg_49_2"/>
      <w:bookmarkStart w:id="134" w:name="Tc_G65kAoafMU2uoPERGSMJ0Q_49_0"/>
      <w:bookmarkStart w:id="135" w:name="Tc_9GV8nJx0L0mWyeshVmXkWg_47_11"/>
      <w:bookmarkStart w:id="136" w:name="Tc_c-K7G5LdPE6ZP91zM1-g5Q_47_8"/>
      <w:bookmarkStart w:id="137" w:name="Tc_AApCHKfyVEGktkh2NDGoEA_47_5"/>
      <w:bookmarkStart w:id="138" w:name="Tc_5UQ5quieOkKk7aX4tssftg_47_2"/>
      <w:bookmarkStart w:id="139" w:name="Tc_EYR1g21hFUiXJzrJq41lWw_47_0"/>
      <w:bookmarkStart w:id="140" w:name="Tc_mRSKGTgu6kyZdD55_z5D6w_46_0"/>
      <w:bookmarkStart w:id="141" w:name="Tc_Q79m_EHSz0-31ou-7ts1rg_45_0"/>
      <w:bookmarkStart w:id="142" w:name="Tc_sTgCkyeXn0-GeM_7N3mjLg_44_0"/>
      <w:bookmarkStart w:id="143" w:name="Tc_ZbM73r7EGEOnT6-8FCiWKA_43_0"/>
      <w:bookmarkStart w:id="144" w:name="Tc_3BcayPMYHkqyPPOGVPg22w_42_0"/>
      <w:bookmarkStart w:id="145" w:name="Tc_OXSbM89RPEqPRl5vkLkQTA_41_0"/>
      <w:bookmarkStart w:id="146" w:name="Tc_SzW12gVw906zBiPSvrwz9A_40_0"/>
      <w:bookmarkStart w:id="147" w:name="Tc_8a0_0zXuYU24daJWnXNixw_39_0"/>
      <w:bookmarkStart w:id="148" w:name="Tc_23-JLZDsUEikmgQllcz4LA_38_0"/>
      <w:bookmarkStart w:id="149" w:name="Tc_jUZ3sJwoN0uDoPLUJeL4TA_37_0"/>
      <w:bookmarkStart w:id="150" w:name="Tc_vktbWs5rpUSVucAts6fYHA_36_0"/>
      <w:bookmarkStart w:id="151" w:name="Tc_6oG85BZLvku0YhoyE8_v_Q_35_0"/>
      <w:bookmarkStart w:id="152" w:name="Tc_hmgHmbMHy0uVDgmlLhoSIg_34_0"/>
      <w:bookmarkStart w:id="153" w:name="Tc_T13t5BSlQUapAE0mUPIt1Q_33_0"/>
      <w:bookmarkStart w:id="154" w:name="Tc_XXDfsa04EUaDvjRKGy9idQ_32_0"/>
      <w:bookmarkStart w:id="155" w:name="Tc_uQ7c_wdXQ0yF_R4lfghSpA_31_0"/>
      <w:bookmarkStart w:id="156" w:name="Tc_CDspfCxxyUa5PeubW7Gi0Q_30_0"/>
      <w:bookmarkStart w:id="157" w:name="Tc_ESnX4LOGiU63Rcugb6NPMw_29_0"/>
      <w:bookmarkStart w:id="158" w:name="Tc_wC7WZtOfkkaH3Vq8tAfn8A_28_12"/>
      <w:bookmarkStart w:id="159" w:name="Tc_w6lDPFsKBE-hDtw4cOXhjw_28_6"/>
      <w:bookmarkStart w:id="160" w:name="Tc_lfXdSpjDT0u354bs2--GIg_28_0"/>
      <w:bookmarkStart w:id="161" w:name="Tc_BVRXJ7TMgkmfkYXmY_qUMg_27_9"/>
      <w:bookmarkStart w:id="162" w:name="Tc_v2i8zP4WbkWB0vpw4uePPQ_27_3"/>
      <w:bookmarkStart w:id="163" w:name="Tc_1NLz7i1xnESUmhtzC0xDhA_27_0"/>
      <w:bookmarkStart w:id="164" w:name="Tc_9fG2FuDNHUSjqG6RUYr3jQ_26_9"/>
      <w:bookmarkStart w:id="165" w:name="Tc_SBC5GQCy_0i3abnbvORbAg_26_3"/>
      <w:bookmarkStart w:id="166" w:name="Tc_JzeIQS8s706N72xLb5i3hA_26_0"/>
      <w:bookmarkStart w:id="167" w:name="Tc_lSnec-gjx0yyPRD2ELactA_25_0"/>
      <w:bookmarkStart w:id="168" w:name="Tc_iUIQSJL7bEO9LRTWyaNjiQ_24_9"/>
      <w:bookmarkStart w:id="169" w:name="Tc_yrYGmBjd5keCQAK-AcK8gQ_24_3"/>
      <w:bookmarkStart w:id="170" w:name="Tc_HTOhX7AREky1brL49JSKeg_24_0"/>
      <w:bookmarkStart w:id="171" w:name="Tc_ACdPG7NKWEa3480xlCS_OQ_23_0"/>
      <w:bookmarkStart w:id="172" w:name="Tc_c1Z1RjC4XUGIVLqkUYQGiA_22_0"/>
      <w:bookmarkStart w:id="173" w:name="Tc_ji78aOKwcESImh2gnl8ojQ_21_0"/>
      <w:bookmarkStart w:id="174" w:name="Tc_YTQKJNb50ESe0ratKFpMsA_20_0"/>
      <w:bookmarkStart w:id="175" w:name="Tc_vfV5H8PPr0-fdGtCQeu5Fg_19_0"/>
      <w:bookmarkStart w:id="176" w:name="Tc_ZRab6f6AYUeiinyTl_zYbQ_18_0"/>
      <w:bookmarkStart w:id="177" w:name="Tc_WUzND4-bIU-UVZYoJHWPcA_17_0"/>
      <w:bookmarkStart w:id="178" w:name="Tc_CKqFTUWQMEqafcuSKZtumA_16_0"/>
      <w:bookmarkStart w:id="179" w:name="Tc_XmeIg1PKokqwoWoeboTcGQ_15_0"/>
      <w:bookmarkStart w:id="180" w:name="Tc_yzYKJLK8lU2ln__Y6alk6A_14_0"/>
      <w:bookmarkStart w:id="181" w:name="Tc_pIWogOMe5UyZicaB2qV_tQ_13_0"/>
      <w:bookmarkStart w:id="182" w:name="Tc_8BaHecylcEmRvsbM_lhx5w_12_0"/>
      <w:bookmarkStart w:id="183" w:name="Tc_gdruhbldt0ewJH043_Ij3Q_11_0"/>
      <w:bookmarkStart w:id="184" w:name="Tc_eWY2rr54dESAjtJkbFzuIA_10_0"/>
      <w:bookmarkStart w:id="185" w:name="Tc_YrA5_Dk4Y0-IWH4lMutp2g_9_0"/>
      <w:bookmarkStart w:id="186" w:name="Tc_gbWir2D3BUWvquYItaRU-A_8_0"/>
      <w:bookmarkStart w:id="187" w:name="Tc_Xx5b7cwQZUC3sfnZ2xMv6Q_7_0"/>
      <w:bookmarkStart w:id="188" w:name="Tc_5flb5SWAwUa9vMe-9KJfow_6_0"/>
      <w:bookmarkStart w:id="189" w:name="Tc_eE96zF-5YEqf84Type21xA_5_11"/>
      <w:bookmarkStart w:id="190" w:name="Tc_fdmrGx9iu0-klRtbk_C35g_5_8"/>
      <w:bookmarkStart w:id="191" w:name="Tc_tkamN5bZIU64GXAs06IkVg_5_5"/>
      <w:bookmarkStart w:id="192" w:name="Tc_xT08h4G7-0i-r8JO25oCKA_5_2"/>
      <w:bookmarkStart w:id="193" w:name="Tc_GnCkZr78uUCWo7C8PPjcKw_5_0"/>
      <w:bookmarkStart w:id="194" w:name="Tc_RSKc3rB7JE6HGPxMB2FPCg_4_0"/>
      <w:bookmarkStart w:id="195" w:name="Tc_MRXvYTi8AUmqrbF5ECtG_Q_3_11"/>
      <w:bookmarkStart w:id="196" w:name="Tc_LWS0xLkJMU-gICTQF3SGEw_3_8"/>
      <w:bookmarkStart w:id="197" w:name="Tc_CM5c5xE7ikqaRNiuAiILOw_3_5"/>
      <w:bookmarkStart w:id="198" w:name="Tc_xcSqVPngd0mp-l6ufFBOqA_3_2"/>
      <w:bookmarkStart w:id="199" w:name="Tc_uMhKk3NBW0WoU0S_tiJOtQ_2_8"/>
      <w:bookmarkStart w:id="200" w:name="Tc_4-vTeByH0EeyrQzj5zWNEA_2_2"/>
      <w:bookmarkStart w:id="201" w:name="Tc_NORiUR59ykSPRal0Uelbcg_1_8"/>
      <w:bookmarkStart w:id="202" w:name="Tc_2fhK1BAEFUCFDCZG7BvXcQ_1_2"/>
      <w:bookmarkStart w:id="203" w:name="_506a685c_786b_4425_8fa8_c92346a84baf"/>
      <w:bookmarkStart w:id="204" w:name="_c3e32b2e_2700_4fbf_815a_b64bd48b1fd1"/>
      <w:bookmarkStart w:id="205" w:name="Tc_LHTxu45DSESXfYs9D02E6Q_50_0"/>
      <w:bookmarkStart w:id="206" w:name="Tc_XieAQmlzfk-f0rikcIwMTQ_49_11"/>
      <w:bookmarkStart w:id="207" w:name="Tc_pGzzPeJTp06miDkqoEbA7Q_49_8"/>
      <w:bookmarkStart w:id="208" w:name="Tc_v6dxIK5Aq0eZTNAsIZO0Vg_49_5"/>
      <w:bookmarkStart w:id="209" w:name="Tc_uo5GQU6l1E66OKgTtYSXmg_49_2"/>
      <w:bookmarkStart w:id="210" w:name="Tc_G65kAoafMU2uoPERGSMJ0Q_49_0"/>
      <w:bookmarkStart w:id="211" w:name="Tc_9GV8nJx0L0mWyeshVmXkWg_47_11"/>
      <w:bookmarkStart w:id="212" w:name="Tc_c-K7G5LdPE6ZP91zM1-g5Q_47_8"/>
      <w:bookmarkStart w:id="213" w:name="Tc_AApCHKfyVEGktkh2NDGoEA_47_5"/>
      <w:bookmarkStart w:id="214" w:name="Tc_5UQ5quieOkKk7aX4tssftg_47_2"/>
      <w:bookmarkStart w:id="215" w:name="Tc_EYR1g21hFUiXJzrJq41lWw_47_0"/>
      <w:bookmarkStart w:id="216" w:name="Tc_mRSKGTgu6kyZdD55_z5D6w_46_0"/>
      <w:bookmarkStart w:id="217" w:name="Tc_Q79m_EHSz0-31ou-7ts1rg_45_0"/>
      <w:bookmarkStart w:id="218" w:name="Tc_sTgCkyeXn0-GeM_7N3mjLg_44_0"/>
      <w:bookmarkStart w:id="219" w:name="Tc_ZbM73r7EGEOnT6-8FCiWKA_43_0"/>
      <w:bookmarkStart w:id="220" w:name="Tc_3BcayPMYHkqyPPOGVPg22w_42_0"/>
      <w:bookmarkStart w:id="221" w:name="Tc_OXSbM89RPEqPRl5vkLkQTA_41_0"/>
      <w:bookmarkStart w:id="222" w:name="Tc_SzW12gVw906zBiPSvrwz9A_40_0"/>
      <w:bookmarkStart w:id="223" w:name="Tc_8a0_0zXuYU24daJWnXNixw_39_0"/>
      <w:bookmarkStart w:id="224" w:name="Tc_23-JLZDsUEikmgQllcz4LA_38_0"/>
      <w:bookmarkStart w:id="225" w:name="Tc_jUZ3sJwoN0uDoPLUJeL4TA_37_0"/>
      <w:bookmarkStart w:id="226" w:name="Tc_vktbWs5rpUSVucAts6fYHA_36_0"/>
      <w:bookmarkStart w:id="227" w:name="Tc_6oG85BZLvku0YhoyE8_v_Q_35_0"/>
      <w:bookmarkStart w:id="228" w:name="Tc_hmgHmbMHy0uVDgmlLhoSIg_34_0"/>
      <w:bookmarkStart w:id="229" w:name="Tc_T13t5BSlQUapAE0mUPIt1Q_33_0"/>
      <w:bookmarkStart w:id="230" w:name="Tc_XXDfsa04EUaDvjRKGy9idQ_32_0"/>
      <w:bookmarkStart w:id="231" w:name="Tc_uQ7c_wdXQ0yF_R4lfghSpA_31_0"/>
      <w:bookmarkStart w:id="232" w:name="Tc_CDspfCxxyUa5PeubW7Gi0Q_30_0"/>
      <w:bookmarkStart w:id="233" w:name="Tc_ESnX4LOGiU63Rcugb6NPMw_29_0"/>
      <w:bookmarkStart w:id="234" w:name="Tc_wC7WZtOfkkaH3Vq8tAfn8A_28_12"/>
      <w:bookmarkStart w:id="235" w:name="Tc_w6lDPFsKBE-hDtw4cOXhjw_28_6"/>
      <w:bookmarkStart w:id="236" w:name="Tc_lfXdSpjDT0u354bs2--GIg_28_0"/>
      <w:bookmarkStart w:id="237" w:name="Tc_BVRXJ7TMgkmfkYXmY_qUMg_27_9"/>
      <w:bookmarkStart w:id="238" w:name="Tc_v2i8zP4WbkWB0vpw4uePPQ_27_3"/>
      <w:bookmarkStart w:id="239" w:name="Tc_1NLz7i1xnESUmhtzC0xDhA_27_0"/>
      <w:bookmarkStart w:id="240" w:name="Tc_9fG2FuDNHUSjqG6RUYr3jQ_26_9"/>
      <w:bookmarkStart w:id="241" w:name="Tc_SBC5GQCy_0i3abnbvORbAg_26_3"/>
      <w:bookmarkStart w:id="242" w:name="Tc_JzeIQS8s706N72xLb5i3hA_26_0"/>
      <w:bookmarkStart w:id="243" w:name="Tc_lSnec-gjx0yyPRD2ELactA_25_0"/>
      <w:bookmarkStart w:id="244" w:name="Tc_iUIQSJL7bEO9LRTWyaNjiQ_24_9"/>
      <w:bookmarkStart w:id="245" w:name="Tc_yrYGmBjd5keCQAK-AcK8gQ_24_3"/>
      <w:bookmarkStart w:id="246" w:name="Tc_HTOhX7AREky1brL49JSKeg_24_0"/>
      <w:bookmarkStart w:id="247" w:name="Tc_ACdPG7NKWEa3480xlCS_OQ_23_0"/>
      <w:bookmarkStart w:id="248" w:name="Tc_c1Z1RjC4XUGIVLqkUYQGiA_22_0"/>
      <w:bookmarkStart w:id="249" w:name="Tc_ji78aOKwcESImh2gnl8ojQ_21_0"/>
      <w:bookmarkStart w:id="250" w:name="Tc_YTQKJNb50ESe0ratKFpMsA_20_0"/>
      <w:bookmarkStart w:id="251" w:name="Tc_vfV5H8PPr0-fdGtCQeu5Fg_19_0"/>
      <w:bookmarkStart w:id="252" w:name="Tc_ZRab6f6AYUeiinyTl_zYbQ_18_0"/>
      <w:bookmarkStart w:id="253" w:name="Tc_WUzND4-bIU-UVZYoJHWPcA_17_0"/>
      <w:bookmarkStart w:id="254" w:name="Tc_CKqFTUWQMEqafcuSKZtumA_16_0"/>
      <w:bookmarkStart w:id="255" w:name="Tc_XmeIg1PKokqwoWoeboTcGQ_15_0"/>
      <w:bookmarkStart w:id="256" w:name="Tc_yzYKJLK8lU2ln__Y6alk6A_14_0"/>
      <w:bookmarkStart w:id="257" w:name="Tc_pIWogOMe5UyZicaB2qV_tQ_13_0"/>
      <w:bookmarkStart w:id="258" w:name="Tc_8BaHecylcEmRvsbM_lhx5w_12_0"/>
      <w:bookmarkStart w:id="259" w:name="Tc_gdruhbldt0ewJH043_Ij3Q_11_0"/>
      <w:bookmarkStart w:id="260" w:name="Tc_eWY2rr54dESAjtJkbFzuIA_10_0"/>
      <w:bookmarkStart w:id="261" w:name="Tc_YrA5_Dk4Y0-IWH4lMutp2g_9_0"/>
      <w:bookmarkStart w:id="262" w:name="Tc_gbWir2D3BUWvquYItaRU-A_8_0"/>
      <w:bookmarkStart w:id="263" w:name="Tc_Xx5b7cwQZUC3sfnZ2xMv6Q_7_0"/>
      <w:bookmarkStart w:id="264" w:name="Tc_5flb5SWAwUa9vMe-9KJfow_6_0"/>
      <w:bookmarkStart w:id="265" w:name="Tc_eE96zF-5YEqf84Type21xA_5_11"/>
      <w:bookmarkStart w:id="266" w:name="Tc_fdmrGx9iu0-klRtbk_C35g_5_8"/>
      <w:bookmarkStart w:id="267" w:name="Tc_tkamN5bZIU64GXAs06IkVg_5_5"/>
      <w:bookmarkStart w:id="268" w:name="Tc_xT08h4G7-0i-r8JO25oCKA_5_2"/>
      <w:bookmarkStart w:id="269" w:name="Tc_GnCkZr78uUCWo7C8PPjcKw_5_0"/>
      <w:bookmarkStart w:id="270" w:name="Tc_RSKc3rB7JE6HGPxMB2FPCg_4_0"/>
      <w:bookmarkStart w:id="271" w:name="Tc_MRXvYTi8AUmqrbF5ECtG_Q_3_11"/>
      <w:bookmarkStart w:id="272" w:name="Tc_LWS0xLkJMU-gICTQF3SGEw_3_8"/>
      <w:bookmarkStart w:id="273" w:name="Tc_CM5c5xE7ikqaRNiuAiILOw_3_5"/>
      <w:bookmarkStart w:id="274" w:name="Tc_xcSqVPngd0mp-l6ufFBOqA_3_2"/>
      <w:bookmarkStart w:id="275" w:name="Tc_uMhKk3NBW0WoU0S_tiJOtQ_2_8"/>
      <w:bookmarkStart w:id="276" w:name="Tc_4-vTeByH0EeyrQzj5zWNEA_2_2"/>
      <w:bookmarkStart w:id="277" w:name="Tc_NORiUR59ykSPRal0Uelbcg_1_8"/>
      <w:bookmarkStart w:id="278" w:name="Tc_2fhK1BAEFUCFDCZG7BvXcQ_1_2"/>
      <w:bookmarkStart w:id="279" w:name="_506a685c_786b_4425_8fa8_c92346a84baf"/>
      <w:bookmarkStart w:id="280" w:name="_c3e32b2e_2700_4fbf_815a_b64bd48b1fd1"/>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tbl>
      <w:tblPr>
        <w:tblW w:w="10205" w:type="dxa"/>
        <w:jc w:val="left"/>
        <w:tblInd w:w="0" w:type="dxa"/>
        <w:tblLayout w:type="fixed"/>
        <w:tblCellMar>
          <w:top w:w="0" w:type="dxa"/>
          <w:left w:w="0" w:type="dxa"/>
          <w:bottom w:w="0" w:type="dxa"/>
          <w:right w:w="0" w:type="dxa"/>
        </w:tblCellMar>
      </w:tblPr>
      <w:tblGrid>
        <w:gridCol w:w="4505"/>
        <w:gridCol w:w="346"/>
        <w:gridCol w:w="196"/>
        <w:gridCol w:w="916"/>
        <w:gridCol w:w="346"/>
        <w:gridCol w:w="196"/>
        <w:gridCol w:w="916"/>
        <w:gridCol w:w="109"/>
        <w:gridCol w:w="196"/>
        <w:gridCol w:w="916"/>
        <w:gridCol w:w="346"/>
        <w:gridCol w:w="196"/>
        <w:gridCol w:w="1021"/>
      </w:tblGrid>
      <w:tr>
        <w:trPr/>
        <w:tc>
          <w:tcPr>
            <w:tcW w:w="4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860675" cy="175260"/>
                      <wp:effectExtent l="0" t="0" r="0" b="0"/>
                      <wp:wrapNone/>
                      <wp:docPr id="13" name="Frame13"/>
                      <a:graphic xmlns:a="http://schemas.openxmlformats.org/drawingml/2006/main">
                        <a:graphicData uri="http://schemas.microsoft.com/office/word/2010/wordprocessingShape">
                          <wps:wsp>
                            <wps:cNvSpPr txBox="1"/>
                            <wps:spPr>
                              <a:xfrm>
                                <a:off x="0" y="0"/>
                                <a:ext cx="2860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81660" cy="175260"/>
                      <wp:effectExtent l="0" t="0" r="0" b="0"/>
                      <wp:wrapNone/>
                      <wp:docPr id="16" name="Frame1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1660" cy="175260"/>
                      <wp:effectExtent l="0" t="0" r="0" b="0"/>
                      <wp:wrapNone/>
                      <wp:docPr id="19" name="Frame1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81660" cy="175260"/>
                      <wp:effectExtent l="0" t="0" r="0" b="0"/>
                      <wp:wrapNone/>
                      <wp:docPr id="22" name="Frame2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335" cy="175260"/>
                      <wp:effectExtent l="0" t="0" r="0" b="0"/>
                      <wp:wrapNone/>
                      <wp:docPr id="25" name="Frame2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57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67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45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109" w:type="dxa"/>
            <w:tcBorders/>
            <w:vAlign w:val="center"/>
          </w:tcPr>
          <w:p>
            <w:pPr>
              <w:pStyle w:val="TableContents"/>
              <w:bidi w:val="0"/>
              <w:spacing w:before="0" w:after="1"/>
              <w:ind w:left="0" w:right="0" w:hanging="0"/>
              <w:jc w:val="center"/>
              <w:rPr/>
            </w:pPr>
            <w:r>
              <w:rPr/>
              <w:t>​</w:t>
            </w:r>
          </w:p>
        </w:tc>
        <w:tc>
          <w:tcPr>
            <w:tcW w:w="26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5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center"/>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  ​</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fees on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28,103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55,417</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on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5,395</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exempt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1,137</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on Federal funds sold and 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3,182</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33,224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68,969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65,131</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 and NOW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10,150</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4,446</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FHLB advances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1,306</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Subordinated notes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16,363</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25,140</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56,323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48,768</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(credit) for credit losses - loans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2,315</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INTEREST INCOME AFTER PROVISION (CREDIT) FOR CREDIT LOSSES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29,436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23,027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57,773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46,453</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NONINTEREST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 charges on deposit accounts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624</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Trust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3,247</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advisory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3,589</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securities gains(losses),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on bank owned life insurance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bank owned life insurance benefit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2,399</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sale of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Valuation loss on loans held-for-sale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811</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NONINTEREST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7,316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11,672</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NONINTEREST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pPr>
            <w:r>
              <w:rPr/>
              <w:t>​</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Salaries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6,813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13,718</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Employee benefits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4,788</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2,576</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Professional fees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3,013</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Directors’ fees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625</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Computer software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4,099</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FDIC assessment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Advertising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870</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Advisor expenses related to trust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Telephone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1,094</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2,302</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NONINTEREST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16,754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33,248</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before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11,560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13,589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24,877</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(credit)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5,712</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13,659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10,461</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24,943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19,165</w:t>
            </w:r>
          </w:p>
        </w:tc>
      </w:tr>
      <w:tr>
        <w:trPr/>
        <w:tc>
          <w:tcPr>
            <w:tcW w:w="450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45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 and diluted earnings per share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r>
      <w:tr>
        <w:trPr/>
        <w:tc>
          <w:tcPr>
            <w:tcW w:w="45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13,381,376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11,994,815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13,366,712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11,665,181</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12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4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1" w:name="_5b07f167_8d92_4ba3_9451_fdaceeb3840f"/>
      <w:bookmarkEnd w:id="281"/>
      <w:r>
        <w:rPr>
          <w:rFonts w:ascii="Times New Roman;Times;serif" w:hAnsi="Times New Roman;Times;serif"/>
          <w:b/>
          <w:sz w:val="20"/>
        </w:rPr>
        <w:t>ORANGE COUNTY BANCORP, INC.</w:t>
      </w:r>
    </w:p>
    <w:p>
      <w:pPr>
        <w:pStyle w:val="TextBody"/>
        <w:bidi w:val="0"/>
        <w:spacing w:before="0" w:after="0"/>
        <w:ind w:left="0" w:right="0" w:hanging="0"/>
        <w:jc w:val="center"/>
        <w:rPr>
          <w:rFonts w:ascii="Times New Roman;Times;serif" w:hAnsi="Times New Roman;Times;serif"/>
          <w:b/>
          <w:sz w:val="20"/>
        </w:rPr>
      </w:pPr>
      <w:bookmarkStart w:id="282" w:name="CondensedConsolidatedStatementsofCompreh"/>
      <w:bookmarkEnd w:id="282"/>
      <w:r>
        <w:rPr>
          <w:rFonts w:ascii="Times New Roman;Times;serif" w:hAnsi="Times New Roman;Times;serif"/>
          <w:b/>
          <w:sz w:val="20"/>
        </w:rPr>
        <w:t>CONDENSED CONSOLIDATED STATEMENTS OF COMPREHENSIVE INCOME</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 amounts in thousands except per share data)</w:t>
      </w:r>
    </w:p>
    <w:p>
      <w:pPr>
        <w:pStyle w:val="Normal"/>
        <w:bidi w:val="0"/>
        <w:spacing w:before="0" w:after="0"/>
        <w:jc w:val="left"/>
        <w:rPr>
          <w:sz w:val="4"/>
          <w:szCs w:val="4"/>
        </w:rPr>
      </w:pPr>
      <w:r>
        <w:rPr>
          <w:sz w:val="4"/>
          <w:szCs w:val="4"/>
        </w:rPr>
      </w:r>
      <w:bookmarkStart w:id="283" w:name="Tc_vc1Toe7Tr0ulmQ1XjD6QrA_22_11"/>
      <w:bookmarkStart w:id="284" w:name="Tc_NQwG3UdyXEKbyBkoEBJiKw_22_8"/>
      <w:bookmarkStart w:id="285" w:name="Tc_W_hnDItlnk2mZsCvgdfVNg_22_5"/>
      <w:bookmarkStart w:id="286" w:name="Tc_QaqEmy0uY0-AimEh9L5WPA_22_2"/>
      <w:bookmarkStart w:id="287" w:name="Tc_sc8YW8jHr0iweevy5XADwQ_22_0"/>
      <w:bookmarkStart w:id="288" w:name="Tc_xM7sKZHwg0q9oIr-7hlEfQ_21_0"/>
      <w:bookmarkStart w:id="289" w:name="Tc_X2fBzKidqkOTjfdoR9EU4A_20_0"/>
      <w:bookmarkStart w:id="290" w:name="Tc_gRiaJ7kzfEehvlpg8Lo7RQ_19_0"/>
      <w:bookmarkStart w:id="291" w:name="Tc_x6toes60KkuSpQ9k1RRTig_18_0"/>
      <w:bookmarkStart w:id="292" w:name="Tc_iJ6N8NDmkkuULy460yM22g_17_0"/>
      <w:bookmarkStart w:id="293" w:name="Tc_C_eZzBc7nUWsMRmwbx8u4g_16_0"/>
      <w:bookmarkStart w:id="294" w:name="Tc_SrwMHql0-EqQTZp4MUGBIg_15_0"/>
      <w:bookmarkStart w:id="295" w:name="Tc_e_O76jkUFU6QC76gQysoBQ_14_0"/>
      <w:bookmarkStart w:id="296" w:name="Tc_v0m6ehdX5E2iMPFGNrXLsw_13_0"/>
      <w:bookmarkStart w:id="297" w:name="Tc_c-NQ2x1uYUG1C7s32aI6iQ_12_0"/>
      <w:bookmarkStart w:id="298" w:name="Tc_LCIxyb2710CbXIJ7MXqTRg_11_0"/>
      <w:bookmarkStart w:id="299" w:name="Tc_7ksqfExiBU-6q7-uc_Mk5w_10_12"/>
      <w:bookmarkStart w:id="300" w:name="Tc_fL5RAjFdT06EqjhG1VslpA_10_6"/>
      <w:bookmarkStart w:id="301" w:name="Tc_n1yxpXp5R0qIQbwEG73Azg_10_0"/>
      <w:bookmarkStart w:id="302" w:name="Tc_vVdNjGCKr0-WouqZdukdOg_9_12"/>
      <w:bookmarkStart w:id="303" w:name="Tc_i_xoEnnWiEu7JVMExpioKw_9_6"/>
      <w:bookmarkStart w:id="304" w:name="Tc_gh1GAVDSzEaTAK7SSAJOcw_9_0"/>
      <w:bookmarkStart w:id="305" w:name="Tc_4sx_GPPOzkOOzwfaD18Feg_8_9"/>
      <w:bookmarkStart w:id="306" w:name="Tc_NYEsBBZ7xUi8eQINDSLQGA_8_3"/>
      <w:bookmarkStart w:id="307" w:name="Tc_ouUa5hFwfUihO1nH6-eV5Q_8_0"/>
      <w:bookmarkStart w:id="308" w:name="Tc_5e2KxtUVREaz84Hz55VAgQ_7_0"/>
      <w:bookmarkStart w:id="309" w:name="Tc_ZOAgBWdgTkuE0xkwNcKDxQ_6_0"/>
      <w:bookmarkStart w:id="310" w:name="Tc_A3os7ApRF0Oy5yUvkrHqUw_5_0"/>
      <w:bookmarkStart w:id="311" w:name="Tc_CN1yQnt1_kerb3lbALIPdg_4_11"/>
      <w:bookmarkStart w:id="312" w:name="Tc_r_0WdNVAj0qlddhnBMTLxg_4_8"/>
      <w:bookmarkStart w:id="313" w:name="Tc_kSqQZu4FfkqzhdhS3nrVUA_4_5"/>
      <w:bookmarkStart w:id="314" w:name="Tc_lZX3lQPdCE6H4tVWwZUUeA_4_2"/>
      <w:bookmarkStart w:id="315" w:name="Tc_OP2JR3gSX028lgcq8ezafw_4_0"/>
      <w:bookmarkStart w:id="316" w:name="Tc_0MTxixZMt0K46X-11YldOA_3_11"/>
      <w:bookmarkStart w:id="317" w:name="Tc_nd4qHyBU30mGjidPxDfjHw_3_8"/>
      <w:bookmarkStart w:id="318" w:name="Tc_Di7mpGoY9UitUujgdY8sjg_3_5"/>
      <w:bookmarkStart w:id="319" w:name="Tc_C0s2tjQKFEmhakhvoF6EUg_3_2"/>
      <w:bookmarkStart w:id="320" w:name="Tc_cnwKlsQQy0GEuQsV1944Wg_2_8"/>
      <w:bookmarkStart w:id="321" w:name="Tc_3Qdo4WpRukWO8TfKmzMdbA_2_2"/>
      <w:bookmarkStart w:id="322" w:name="Tc_ObmRQCefkEeEhblVjfEQPg_1_8"/>
      <w:bookmarkStart w:id="323" w:name="Tc_9KFOuEFKSkqcI_NVrX7ylA_1_2"/>
      <w:bookmarkStart w:id="324" w:name="_ca62e795_58d8_4778_9487_3a4875696456"/>
      <w:bookmarkStart w:id="325" w:name="Tc_vc1Toe7Tr0ulmQ1XjD6QrA_22_11"/>
      <w:bookmarkStart w:id="326" w:name="Tc_NQwG3UdyXEKbyBkoEBJiKw_22_8"/>
      <w:bookmarkStart w:id="327" w:name="Tc_W_hnDItlnk2mZsCvgdfVNg_22_5"/>
      <w:bookmarkStart w:id="328" w:name="Tc_QaqEmy0uY0-AimEh9L5WPA_22_2"/>
      <w:bookmarkStart w:id="329" w:name="Tc_sc8YW8jHr0iweevy5XADwQ_22_0"/>
      <w:bookmarkStart w:id="330" w:name="Tc_xM7sKZHwg0q9oIr-7hlEfQ_21_0"/>
      <w:bookmarkStart w:id="331" w:name="Tc_X2fBzKidqkOTjfdoR9EU4A_20_0"/>
      <w:bookmarkStart w:id="332" w:name="Tc_gRiaJ7kzfEehvlpg8Lo7RQ_19_0"/>
      <w:bookmarkStart w:id="333" w:name="Tc_x6toes60KkuSpQ9k1RRTig_18_0"/>
      <w:bookmarkStart w:id="334" w:name="Tc_iJ6N8NDmkkuULy460yM22g_17_0"/>
      <w:bookmarkStart w:id="335" w:name="Tc_C_eZzBc7nUWsMRmwbx8u4g_16_0"/>
      <w:bookmarkStart w:id="336" w:name="Tc_SrwMHql0-EqQTZp4MUGBIg_15_0"/>
      <w:bookmarkStart w:id="337" w:name="Tc_e_O76jkUFU6QC76gQysoBQ_14_0"/>
      <w:bookmarkStart w:id="338" w:name="Tc_v0m6ehdX5E2iMPFGNrXLsw_13_0"/>
      <w:bookmarkStart w:id="339" w:name="Tc_c-NQ2x1uYUG1C7s32aI6iQ_12_0"/>
      <w:bookmarkStart w:id="340" w:name="Tc_LCIxyb2710CbXIJ7MXqTRg_11_0"/>
      <w:bookmarkStart w:id="341" w:name="Tc_7ksqfExiBU-6q7-uc_Mk5w_10_12"/>
      <w:bookmarkStart w:id="342" w:name="Tc_fL5RAjFdT06EqjhG1VslpA_10_6"/>
      <w:bookmarkStart w:id="343" w:name="Tc_n1yxpXp5R0qIQbwEG73Azg_10_0"/>
      <w:bookmarkStart w:id="344" w:name="Tc_vVdNjGCKr0-WouqZdukdOg_9_12"/>
      <w:bookmarkStart w:id="345" w:name="Tc_i_xoEnnWiEu7JVMExpioKw_9_6"/>
      <w:bookmarkStart w:id="346" w:name="Tc_gh1GAVDSzEaTAK7SSAJOcw_9_0"/>
      <w:bookmarkStart w:id="347" w:name="Tc_4sx_GPPOzkOOzwfaD18Feg_8_9"/>
      <w:bookmarkStart w:id="348" w:name="Tc_NYEsBBZ7xUi8eQINDSLQGA_8_3"/>
      <w:bookmarkStart w:id="349" w:name="Tc_ouUa5hFwfUihO1nH6-eV5Q_8_0"/>
      <w:bookmarkStart w:id="350" w:name="Tc_5e2KxtUVREaz84Hz55VAgQ_7_0"/>
      <w:bookmarkStart w:id="351" w:name="Tc_ZOAgBWdgTkuE0xkwNcKDxQ_6_0"/>
      <w:bookmarkStart w:id="352" w:name="Tc_A3os7ApRF0Oy5yUvkrHqUw_5_0"/>
      <w:bookmarkStart w:id="353" w:name="Tc_CN1yQnt1_kerb3lbALIPdg_4_11"/>
      <w:bookmarkStart w:id="354" w:name="Tc_r_0WdNVAj0qlddhnBMTLxg_4_8"/>
      <w:bookmarkStart w:id="355" w:name="Tc_kSqQZu4FfkqzhdhS3nrVUA_4_5"/>
      <w:bookmarkStart w:id="356" w:name="Tc_lZX3lQPdCE6H4tVWwZUUeA_4_2"/>
      <w:bookmarkStart w:id="357" w:name="Tc_OP2JR3gSX028lgcq8ezafw_4_0"/>
      <w:bookmarkStart w:id="358" w:name="Tc_0MTxixZMt0K46X-11YldOA_3_11"/>
      <w:bookmarkStart w:id="359" w:name="Tc_nd4qHyBU30mGjidPxDfjHw_3_8"/>
      <w:bookmarkStart w:id="360" w:name="Tc_Di7mpGoY9UitUujgdY8sjg_3_5"/>
      <w:bookmarkStart w:id="361" w:name="Tc_C0s2tjQKFEmhakhvoF6EUg_3_2"/>
      <w:bookmarkStart w:id="362" w:name="Tc_cnwKlsQQy0GEuQsV1944Wg_2_8"/>
      <w:bookmarkStart w:id="363" w:name="Tc_3Qdo4WpRukWO8TfKmzMdbA_2_2"/>
      <w:bookmarkStart w:id="364" w:name="Tc_ObmRQCefkEeEhblVjfEQPg_1_8"/>
      <w:bookmarkStart w:id="365" w:name="Tc_9KFOuEFKSkqcI_NVrX7ylA_1_2"/>
      <w:bookmarkStart w:id="366" w:name="_ca62e795_58d8_4778_9487_3a4875696456"/>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tbl>
      <w:tblPr>
        <w:tblW w:w="9676" w:type="dxa"/>
        <w:jc w:val="left"/>
        <w:tblInd w:w="0" w:type="dxa"/>
        <w:tblLayout w:type="fixed"/>
        <w:tblCellMar>
          <w:top w:w="0" w:type="dxa"/>
          <w:left w:w="0" w:type="dxa"/>
          <w:bottom w:w="0" w:type="dxa"/>
          <w:right w:w="0" w:type="dxa"/>
        </w:tblCellMar>
      </w:tblPr>
      <w:tblGrid>
        <w:gridCol w:w="5131"/>
        <w:gridCol w:w="346"/>
        <w:gridCol w:w="196"/>
        <w:gridCol w:w="631"/>
        <w:gridCol w:w="346"/>
        <w:gridCol w:w="196"/>
        <w:gridCol w:w="631"/>
        <w:gridCol w:w="109"/>
        <w:gridCol w:w="211"/>
        <w:gridCol w:w="631"/>
        <w:gridCol w:w="346"/>
        <w:gridCol w:w="196"/>
        <w:gridCol w:w="706"/>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258185" cy="175260"/>
                      <wp:effectExtent l="0" t="0" r="0" b="0"/>
                      <wp:wrapNone/>
                      <wp:docPr id="26" name="Frame26"/>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00685" cy="175260"/>
                      <wp:effectExtent l="0" t="0" r="0" b="0"/>
                      <wp:wrapNone/>
                      <wp:docPr id="29" name="Frame2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0685" cy="175260"/>
                      <wp:effectExtent l="0" t="0" r="0" b="0"/>
                      <wp:wrapNone/>
                      <wp:docPr id="32" name="Frame3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00685" cy="175260"/>
                      <wp:effectExtent l="0" t="0" r="0" b="0"/>
                      <wp:wrapNone/>
                      <wp:docPr id="35" name="Frame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48310" cy="175260"/>
                      <wp:effectExtent l="0" t="0" r="0" b="0"/>
                      <wp:wrapNone/>
                      <wp:docPr id="38" name="Frame3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0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0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0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10,461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19,165</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gains/(losses) on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holding gains/(losses) arising during the period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7,055</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Reclassification adjustment for (gains)/ losses included in 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Valuation allowance reduction, net, for deferred tax asset in net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pPr>
            <w:r>
              <w:rPr/>
              <w:t>—</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benefit (change in deferred tax asset)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effect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1,635</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6,147</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Defined benefit pension plans: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gain arising during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effect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compensation liability: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effect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5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comprehensive (loss)/income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6,315</w:t>
            </w:r>
          </w:p>
        </w:tc>
      </w:tr>
      <w:tr>
        <w:trPr/>
        <w:tc>
          <w:tcPr>
            <w:tcW w:w="5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25,480</w:t>
            </w:r>
          </w:p>
        </w:tc>
      </w:tr>
    </w:tbl>
    <w:p>
      <w:pPr>
        <w:pStyle w:val="TextBody"/>
        <w:bidi w:val="0"/>
        <w:spacing w:before="0" w:after="240"/>
        <w:ind w:left="0" w:right="0" w:hanging="0"/>
        <w:jc w:val="center"/>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67" w:name="CondensedConsolidatedStatementsofChanges"/>
      <w:bookmarkStart w:id="368" w:name="_6601cc99_8c0d_4777_a1c7_7c437e632b0c"/>
      <w:bookmarkEnd w:id="367"/>
      <w:bookmarkEnd w:id="368"/>
      <w:r>
        <w:rPr>
          <w:rFonts w:ascii="Times New Roman;Times;serif" w:hAnsi="Times New Roman;Times;serif"/>
          <w:b/>
          <w:sz w:val="20"/>
        </w:rPr>
        <w:t>ORANGE COUNTY BANCORP,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 amounts in thousands except per share data)</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69" w:name="Tc_iTlBVOiwkkO1P_FXPWuHfA_19_17"/>
      <w:bookmarkStart w:id="370" w:name="Tc_d0EyGXk3F0ety6Xo1u2jcA_19_14"/>
      <w:bookmarkStart w:id="371" w:name="Tc_FcZfqY6kr0GlbjlxJ3CW6Q_19_11"/>
      <w:bookmarkStart w:id="372" w:name="Tc_YEvNQ3yZr020ojVvhxSvgg_19_8"/>
      <w:bookmarkStart w:id="373" w:name="Tc_p-JcKpwN_02aYzvmvY2pyw_19_5"/>
      <w:bookmarkStart w:id="374" w:name="Tc_BA2nrGyT1EeLO0D90IDGGQ_19_2"/>
      <w:bookmarkStart w:id="375" w:name="Tc_EwDrA-dPTEaq4e1xaBbyXQ_19_0"/>
      <w:bookmarkStart w:id="376" w:name="Tc_LPKRTwCjM0GsgiqAvyC6qQ_18_15"/>
      <w:bookmarkStart w:id="377" w:name="Tc_3jHrlQuTuUS072NSOBy7iw_18_12"/>
      <w:bookmarkStart w:id="378" w:name="Tc_EDG2-FVJU0GmN57XntrdOA_18_9"/>
      <w:bookmarkStart w:id="379" w:name="Tc_L6BPWBe6q0uiWVOYFjkmdg_18_3"/>
      <w:bookmarkStart w:id="380" w:name="Tc_oyC648ao6kq5oLmC1P9eZg_18_0"/>
      <w:bookmarkStart w:id="381" w:name="Tc_VbfBKIjbN0uAE9OeYppzlw_17_15"/>
      <w:bookmarkStart w:id="382" w:name="Tc_9ZBA8JnVMUyu3ud2k4LWqA_17_12"/>
      <w:bookmarkStart w:id="383" w:name="Tc_eH6GTpZkTkGPA4je7SciUQ_17_9"/>
      <w:bookmarkStart w:id="384" w:name="Tc_vpW1GbA8LE2QBb6-BRV9Ng_17_0"/>
      <w:bookmarkStart w:id="385" w:name="Tc_Ym-CAdEHkkm5p26SB7M9WA_16_15"/>
      <w:bookmarkStart w:id="386" w:name="Tc_76WxEwhhRUymM8DEcvqCtw_16_12"/>
      <w:bookmarkStart w:id="387" w:name="Tc_AV3iiRC7MUiH7HGPwOF0CA_16_6"/>
      <w:bookmarkStart w:id="388" w:name="Tc_3SHuaLEAaEaukDERDItzkg_16_3"/>
      <w:bookmarkStart w:id="389" w:name="Tc_abNJhozaTUukgW-9wpAEZg_16_0"/>
      <w:bookmarkStart w:id="390" w:name="Tc_ErEEX0flqkW_yv0JTDwvXQ_15_15"/>
      <w:bookmarkStart w:id="391" w:name="Tc_bQ-0qb7lDUyvu0_vlaitdw_15_9"/>
      <w:bookmarkStart w:id="392" w:name="Tc_o1ircypnaESPwbwETDcdNA_15_6"/>
      <w:bookmarkStart w:id="393" w:name="Tc_YMVpeqY8w0CppJHyhFg5Dw_15_3"/>
      <w:bookmarkStart w:id="394" w:name="Tc_dDeRl3uhUUK2cMI0WyrCRA_15_0"/>
      <w:bookmarkStart w:id="395" w:name="Tc_K4iyXNePkECf7xKUBDkC7w_14_15"/>
      <w:bookmarkStart w:id="396" w:name="Tc_sGNPDD_2UEaOKRJIzNNjnA_14_12"/>
      <w:bookmarkStart w:id="397" w:name="Tc_GW3zX-uOFEavlz6NBW6ztg_14_6"/>
      <w:bookmarkStart w:id="398" w:name="Tc_4s3aY6ZHp0m2rOenkcJLKA_14_3"/>
      <w:bookmarkStart w:id="399" w:name="Tc_m54se39waUSJmEECiPeM4g_14_0"/>
      <w:bookmarkStart w:id="400" w:name="Tc_s_I6TvwhoE21ruT0C7Y80A_13_17"/>
      <w:bookmarkStart w:id="401" w:name="Tc_-nzHvKAxKkOyIPq73krUeA_13_14"/>
      <w:bookmarkStart w:id="402" w:name="Tc_dxGRgsl2hk6irDN9LlNSsg_13_11"/>
      <w:bookmarkStart w:id="403" w:name="Tc_IDOjXWNyyk-k575OFlx9Tw_13_8"/>
      <w:bookmarkStart w:id="404" w:name="Tc_qYqS6LrfykmV1Lj5EQ0Ukw_13_5"/>
      <w:bookmarkStart w:id="405" w:name="Tc_PEkDBv6a_kKHQMpg3-W2gA_13_2"/>
      <w:bookmarkStart w:id="406" w:name="Tc_K_Ae3qHHgEKyapVh6Fy-hQ_13_0"/>
      <w:bookmarkStart w:id="407" w:name="Tc_58VptV8eaEKfr8QKE61FDg_10_17"/>
      <w:bookmarkStart w:id="408" w:name="Tc_KoysHvKqNkq62hd0e7dpmw_10_14"/>
      <w:bookmarkStart w:id="409" w:name="Tc_lT32e7jkHECuRv_IDv-eyQ_10_11"/>
      <w:bookmarkStart w:id="410" w:name="Tc_9ErAYiyUwUm4D9A0OyDTrw_10_8"/>
      <w:bookmarkStart w:id="411" w:name="Tc_vLooFp9eCEWwOpX1SJm73Q_10_5"/>
      <w:bookmarkStart w:id="412" w:name="Tc_M0Wm7br6yE-jPqwl_T0YuQ_10_2"/>
      <w:bookmarkStart w:id="413" w:name="Tc_oPxh7azHtUW1w5zLaUkBhA_10_0"/>
      <w:bookmarkStart w:id="414" w:name="Tc_PvoY-P2aHUehl5qhVCiUHg_9_15"/>
      <w:bookmarkStart w:id="415" w:name="Tc_NgIw0IL1t0OR8AazXTDvYw_9_12"/>
      <w:bookmarkStart w:id="416" w:name="Tc_k_k-U5tl906LbTkTL3d3PA_9_9"/>
      <w:bookmarkStart w:id="417" w:name="Tc_e8_pUl_uWUCZUfwtfb4RNw_9_3"/>
      <w:bookmarkStart w:id="418" w:name="Tc_d4NEPOpZy0KZeB4uFA_ZiA_9_0"/>
      <w:bookmarkStart w:id="419" w:name="Tc_0wecWVitHkCcAqulz0XEfg_8_15"/>
      <w:bookmarkStart w:id="420" w:name="Tc_K0W8DJUrqUWKqwi0cjxRLA_8_12"/>
      <w:bookmarkStart w:id="421" w:name="Tc_eJv5rAsdBU6yqcp2g-3H5g_8_9"/>
      <w:bookmarkStart w:id="422" w:name="Tc_82QkzNGMU0aWjipjUIUCMQ_8_3"/>
      <w:bookmarkStart w:id="423" w:name="Tc_XMi0nSGQckmcrhno4Fikdg_8_0"/>
      <w:bookmarkStart w:id="424" w:name="Tc_XHYTEucc_UuUAgnR54q_Yg_7_15"/>
      <w:bookmarkStart w:id="425" w:name="Tc_LVIKoDdJ20KkTCYvHDKZfQ_7_12"/>
      <w:bookmarkStart w:id="426" w:name="Tc_1wNfa4i9wkCKNMa5gpXryA_7_6"/>
      <w:bookmarkStart w:id="427" w:name="Tc_WKy7A8-nzUSOB8k3nrbusQ_7_3"/>
      <w:bookmarkStart w:id="428" w:name="Tc_c5htz1gSzU2uTqVnUM0BuA_7_0"/>
      <w:bookmarkStart w:id="429" w:name="Tc_ThuM7iaun0Cj3k6oymI1pw_6_15"/>
      <w:bookmarkStart w:id="430" w:name="Tc_YdTE_JecuECSxXRHXNlI6w_6_9"/>
      <w:bookmarkStart w:id="431" w:name="Tc_K0ut4jRnh0aoHSXqIxxH0w_6_6"/>
      <w:bookmarkStart w:id="432" w:name="Tc_fkzBKsq8_ECWrcvkXXYxdQ_6_3"/>
      <w:bookmarkStart w:id="433" w:name="Tc_-D6DXL4jTkSFZNe6-rW9jg_6_0"/>
      <w:bookmarkStart w:id="434" w:name="Tc_D8QrEuU2H0eXVYahp95_eQ_5_15"/>
      <w:bookmarkStart w:id="435" w:name="Tc_-vhn-4akw0CD1XflRStAlA_5_12"/>
      <w:bookmarkStart w:id="436" w:name="Tc_SRWx8q4eLUW-umXXzJiZxg_5_6"/>
      <w:bookmarkStart w:id="437" w:name="Tc_rzITSNxvN0qtWMbAPruS9A_5_3"/>
      <w:bookmarkStart w:id="438" w:name="Tc_Fq8vH26RTU2asesaMzarGw_5_0"/>
      <w:bookmarkStart w:id="439" w:name="Tc_MXvzLC7420ed5rEXtUkeCg_4_17"/>
      <w:bookmarkStart w:id="440" w:name="Tc_EdoL_DON4Uu89WeFxiWFYQ_4_14"/>
      <w:bookmarkStart w:id="441" w:name="Tc_FPTj8u_ZzUq-EMZ8qowZpA_4_11"/>
      <w:bookmarkStart w:id="442" w:name="Tc_6EFap-lMP0CQto3xo8ARrA_4_8"/>
      <w:bookmarkStart w:id="443" w:name="Tc_Q8SIQ3KJN0aOoHuRHXQXnQ_4_5"/>
      <w:bookmarkStart w:id="444" w:name="Tc_myqO8omCKkOPazdyKvf2ow_4_2"/>
      <w:bookmarkStart w:id="445" w:name="Tc_htmI4nkexU2W-hm8Sq587Q_4_0"/>
      <w:bookmarkStart w:id="446" w:name="Tc_g07ZwjUWbUayWfcC3kHbFA_3_17"/>
      <w:bookmarkStart w:id="447" w:name="Tc_nMKsm0iVnEaOMj-EV7R_LA_3_14"/>
      <w:bookmarkStart w:id="448" w:name="Tc_y6B2Y5-s0UGof4laCQTHtg_3_11"/>
      <w:bookmarkStart w:id="449" w:name="Tc_8wF9_jLOfEGZVBfXZHSZOg_3_8"/>
      <w:bookmarkStart w:id="450" w:name="Tc_U55JB9cs-EWc65YnaMSbuw_3_5"/>
      <w:bookmarkStart w:id="451" w:name="Tc_daZXVK5TN0ubAEOxk46YPQ_3_2"/>
      <w:bookmarkStart w:id="452" w:name="Tc_8OFwTeWHSkOqo8n5F8S9NQ_2_14"/>
      <w:bookmarkStart w:id="453" w:name="Tc_N6TjRFBlz0KxLCYuz_7O1g_2_11"/>
      <w:bookmarkStart w:id="454" w:name="Tc_9BxQl01UR0-AwdkSif5l3Q_2_8"/>
      <w:bookmarkStart w:id="455" w:name="Tc_-WSUg2z0nUmh8Ra79aTEVg_2_2"/>
      <w:bookmarkStart w:id="456" w:name="Tc_l4Yswf7JlkeAZBmBRog3Cw_1_11"/>
      <w:bookmarkStart w:id="457" w:name="_e067c071_aedc_4606_9eda_c6714f0e5d9f"/>
      <w:bookmarkStart w:id="458" w:name="Tc_iTlBVOiwkkO1P_FXPWuHfA_19_17"/>
      <w:bookmarkStart w:id="459" w:name="Tc_d0EyGXk3F0ety6Xo1u2jcA_19_14"/>
      <w:bookmarkStart w:id="460" w:name="Tc_FcZfqY6kr0GlbjlxJ3CW6Q_19_11"/>
      <w:bookmarkStart w:id="461" w:name="Tc_YEvNQ3yZr020ojVvhxSvgg_19_8"/>
      <w:bookmarkStart w:id="462" w:name="Tc_p-JcKpwN_02aYzvmvY2pyw_19_5"/>
      <w:bookmarkStart w:id="463" w:name="Tc_BA2nrGyT1EeLO0D90IDGGQ_19_2"/>
      <w:bookmarkStart w:id="464" w:name="Tc_EwDrA-dPTEaq4e1xaBbyXQ_19_0"/>
      <w:bookmarkStart w:id="465" w:name="Tc_LPKRTwCjM0GsgiqAvyC6qQ_18_15"/>
      <w:bookmarkStart w:id="466" w:name="Tc_3jHrlQuTuUS072NSOBy7iw_18_12"/>
      <w:bookmarkStart w:id="467" w:name="Tc_EDG2-FVJU0GmN57XntrdOA_18_9"/>
      <w:bookmarkStart w:id="468" w:name="Tc_L6BPWBe6q0uiWVOYFjkmdg_18_3"/>
      <w:bookmarkStart w:id="469" w:name="Tc_oyC648ao6kq5oLmC1P9eZg_18_0"/>
      <w:bookmarkStart w:id="470" w:name="Tc_VbfBKIjbN0uAE9OeYppzlw_17_15"/>
      <w:bookmarkStart w:id="471" w:name="Tc_9ZBA8JnVMUyu3ud2k4LWqA_17_12"/>
      <w:bookmarkStart w:id="472" w:name="Tc_eH6GTpZkTkGPA4je7SciUQ_17_9"/>
      <w:bookmarkStart w:id="473" w:name="Tc_vpW1GbA8LE2QBb6-BRV9Ng_17_0"/>
      <w:bookmarkStart w:id="474" w:name="Tc_Ym-CAdEHkkm5p26SB7M9WA_16_15"/>
      <w:bookmarkStart w:id="475" w:name="Tc_76WxEwhhRUymM8DEcvqCtw_16_12"/>
      <w:bookmarkStart w:id="476" w:name="Tc_AV3iiRC7MUiH7HGPwOF0CA_16_6"/>
      <w:bookmarkStart w:id="477" w:name="Tc_3SHuaLEAaEaukDERDItzkg_16_3"/>
      <w:bookmarkStart w:id="478" w:name="Tc_abNJhozaTUukgW-9wpAEZg_16_0"/>
      <w:bookmarkStart w:id="479" w:name="Tc_ErEEX0flqkW_yv0JTDwvXQ_15_15"/>
      <w:bookmarkStart w:id="480" w:name="Tc_bQ-0qb7lDUyvu0_vlaitdw_15_9"/>
      <w:bookmarkStart w:id="481" w:name="Tc_o1ircypnaESPwbwETDcdNA_15_6"/>
      <w:bookmarkStart w:id="482" w:name="Tc_YMVpeqY8w0CppJHyhFg5Dw_15_3"/>
      <w:bookmarkStart w:id="483" w:name="Tc_dDeRl3uhUUK2cMI0WyrCRA_15_0"/>
      <w:bookmarkStart w:id="484" w:name="Tc_K4iyXNePkECf7xKUBDkC7w_14_15"/>
      <w:bookmarkStart w:id="485" w:name="Tc_sGNPDD_2UEaOKRJIzNNjnA_14_12"/>
      <w:bookmarkStart w:id="486" w:name="Tc_GW3zX-uOFEavlz6NBW6ztg_14_6"/>
      <w:bookmarkStart w:id="487" w:name="Tc_4s3aY6ZHp0m2rOenkcJLKA_14_3"/>
      <w:bookmarkStart w:id="488" w:name="Tc_m54se39waUSJmEECiPeM4g_14_0"/>
      <w:bookmarkStart w:id="489" w:name="Tc_s_I6TvwhoE21ruT0C7Y80A_13_17"/>
      <w:bookmarkStart w:id="490" w:name="Tc_-nzHvKAxKkOyIPq73krUeA_13_14"/>
      <w:bookmarkStart w:id="491" w:name="Tc_dxGRgsl2hk6irDN9LlNSsg_13_11"/>
      <w:bookmarkStart w:id="492" w:name="Tc_IDOjXWNyyk-k575OFlx9Tw_13_8"/>
      <w:bookmarkStart w:id="493" w:name="Tc_qYqS6LrfykmV1Lj5EQ0Ukw_13_5"/>
      <w:bookmarkStart w:id="494" w:name="Tc_PEkDBv6a_kKHQMpg3-W2gA_13_2"/>
      <w:bookmarkStart w:id="495" w:name="Tc_K_Ae3qHHgEKyapVh6Fy-hQ_13_0"/>
      <w:bookmarkStart w:id="496" w:name="Tc_58VptV8eaEKfr8QKE61FDg_10_17"/>
      <w:bookmarkStart w:id="497" w:name="Tc_KoysHvKqNkq62hd0e7dpmw_10_14"/>
      <w:bookmarkStart w:id="498" w:name="Tc_lT32e7jkHECuRv_IDv-eyQ_10_11"/>
      <w:bookmarkStart w:id="499" w:name="Tc_9ErAYiyUwUm4D9A0OyDTrw_10_8"/>
      <w:bookmarkStart w:id="500" w:name="Tc_vLooFp9eCEWwOpX1SJm73Q_10_5"/>
      <w:bookmarkStart w:id="501" w:name="Tc_M0Wm7br6yE-jPqwl_T0YuQ_10_2"/>
      <w:bookmarkStart w:id="502" w:name="Tc_oPxh7azHtUW1w5zLaUkBhA_10_0"/>
      <w:bookmarkStart w:id="503" w:name="Tc_PvoY-P2aHUehl5qhVCiUHg_9_15"/>
      <w:bookmarkStart w:id="504" w:name="Tc_NgIw0IL1t0OR8AazXTDvYw_9_12"/>
      <w:bookmarkStart w:id="505" w:name="Tc_k_k-U5tl906LbTkTL3d3PA_9_9"/>
      <w:bookmarkStart w:id="506" w:name="Tc_e8_pUl_uWUCZUfwtfb4RNw_9_3"/>
      <w:bookmarkStart w:id="507" w:name="Tc_d4NEPOpZy0KZeB4uFA_ZiA_9_0"/>
      <w:bookmarkStart w:id="508" w:name="Tc_0wecWVitHkCcAqulz0XEfg_8_15"/>
      <w:bookmarkStart w:id="509" w:name="Tc_K0W8DJUrqUWKqwi0cjxRLA_8_12"/>
      <w:bookmarkStart w:id="510" w:name="Tc_eJv5rAsdBU6yqcp2g-3H5g_8_9"/>
      <w:bookmarkStart w:id="511" w:name="Tc_82QkzNGMU0aWjipjUIUCMQ_8_3"/>
      <w:bookmarkStart w:id="512" w:name="Tc_XMi0nSGQckmcrhno4Fikdg_8_0"/>
      <w:bookmarkStart w:id="513" w:name="Tc_XHYTEucc_UuUAgnR54q_Yg_7_15"/>
      <w:bookmarkStart w:id="514" w:name="Tc_LVIKoDdJ20KkTCYvHDKZfQ_7_12"/>
      <w:bookmarkStart w:id="515" w:name="Tc_1wNfa4i9wkCKNMa5gpXryA_7_6"/>
      <w:bookmarkStart w:id="516" w:name="Tc_WKy7A8-nzUSOB8k3nrbusQ_7_3"/>
      <w:bookmarkStart w:id="517" w:name="Tc_c5htz1gSzU2uTqVnUM0BuA_7_0"/>
      <w:bookmarkStart w:id="518" w:name="Tc_ThuM7iaun0Cj3k6oymI1pw_6_15"/>
      <w:bookmarkStart w:id="519" w:name="Tc_YdTE_JecuECSxXRHXNlI6w_6_9"/>
      <w:bookmarkStart w:id="520" w:name="Tc_K0ut4jRnh0aoHSXqIxxH0w_6_6"/>
      <w:bookmarkStart w:id="521" w:name="Tc_fkzBKsq8_ECWrcvkXXYxdQ_6_3"/>
      <w:bookmarkStart w:id="522" w:name="Tc_-D6DXL4jTkSFZNe6-rW9jg_6_0"/>
      <w:bookmarkStart w:id="523" w:name="Tc_D8QrEuU2H0eXVYahp95_eQ_5_15"/>
      <w:bookmarkStart w:id="524" w:name="Tc_-vhn-4akw0CD1XflRStAlA_5_12"/>
      <w:bookmarkStart w:id="525" w:name="Tc_SRWx8q4eLUW-umXXzJiZxg_5_6"/>
      <w:bookmarkStart w:id="526" w:name="Tc_rzITSNxvN0qtWMbAPruS9A_5_3"/>
      <w:bookmarkStart w:id="527" w:name="Tc_Fq8vH26RTU2asesaMzarGw_5_0"/>
      <w:bookmarkStart w:id="528" w:name="Tc_MXvzLC7420ed5rEXtUkeCg_4_17"/>
      <w:bookmarkStart w:id="529" w:name="Tc_EdoL_DON4Uu89WeFxiWFYQ_4_14"/>
      <w:bookmarkStart w:id="530" w:name="Tc_FPTj8u_ZzUq-EMZ8qowZpA_4_11"/>
      <w:bookmarkStart w:id="531" w:name="Tc_6EFap-lMP0CQto3xo8ARrA_4_8"/>
      <w:bookmarkStart w:id="532" w:name="Tc_Q8SIQ3KJN0aOoHuRHXQXnQ_4_5"/>
      <w:bookmarkStart w:id="533" w:name="Tc_myqO8omCKkOPazdyKvf2ow_4_2"/>
      <w:bookmarkStart w:id="534" w:name="Tc_htmI4nkexU2W-hm8Sq587Q_4_0"/>
      <w:bookmarkStart w:id="535" w:name="Tc_g07ZwjUWbUayWfcC3kHbFA_3_17"/>
      <w:bookmarkStart w:id="536" w:name="Tc_nMKsm0iVnEaOMj-EV7R_LA_3_14"/>
      <w:bookmarkStart w:id="537" w:name="Tc_y6B2Y5-s0UGof4laCQTHtg_3_11"/>
      <w:bookmarkStart w:id="538" w:name="Tc_8wF9_jLOfEGZVBfXZHSZOg_3_8"/>
      <w:bookmarkStart w:id="539" w:name="Tc_U55JB9cs-EWc65YnaMSbuw_3_5"/>
      <w:bookmarkStart w:id="540" w:name="Tc_daZXVK5TN0ubAEOxk46YPQ_3_2"/>
      <w:bookmarkStart w:id="541" w:name="Tc_8OFwTeWHSkOqo8n5F8S9NQ_2_14"/>
      <w:bookmarkStart w:id="542" w:name="Tc_N6TjRFBlz0KxLCYuz_7O1g_2_11"/>
      <w:bookmarkStart w:id="543" w:name="Tc_9BxQl01UR0-AwdkSif5l3Q_2_8"/>
      <w:bookmarkStart w:id="544" w:name="Tc_-WSUg2z0nUmh8Ra79aTEVg_2_2"/>
      <w:bookmarkStart w:id="545" w:name="Tc_l4Yswf7JlkeAZBmBRog3Cw_1_11"/>
      <w:bookmarkStart w:id="546" w:name="_e067c071_aedc_4606_9eda_c6714f0e5d9f"/>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tbl>
      <w:tblPr>
        <w:tblW w:w="10205" w:type="dxa"/>
        <w:jc w:val="left"/>
        <w:tblInd w:w="0" w:type="dxa"/>
        <w:tblLayout w:type="fixed"/>
        <w:tblCellMar>
          <w:top w:w="0" w:type="dxa"/>
          <w:left w:w="0" w:type="dxa"/>
          <w:bottom w:w="0" w:type="dxa"/>
          <w:right w:w="0" w:type="dxa"/>
        </w:tblCellMar>
      </w:tblPr>
      <w:tblGrid>
        <w:gridCol w:w="2300"/>
        <w:gridCol w:w="346"/>
        <w:gridCol w:w="212"/>
        <w:gridCol w:w="554"/>
        <w:gridCol w:w="346"/>
        <w:gridCol w:w="196"/>
        <w:gridCol w:w="691"/>
        <w:gridCol w:w="346"/>
        <w:gridCol w:w="196"/>
        <w:gridCol w:w="691"/>
        <w:gridCol w:w="346"/>
        <w:gridCol w:w="350"/>
        <w:gridCol w:w="1181"/>
        <w:gridCol w:w="346"/>
        <w:gridCol w:w="237"/>
        <w:gridCol w:w="529"/>
        <w:gridCol w:w="346"/>
        <w:gridCol w:w="196"/>
        <w:gridCol w:w="796"/>
      </w:tblGrid>
      <w:tr>
        <w:trPr/>
        <w:tc>
          <w:tcPr>
            <w:tcW w:w="2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60500" cy="175260"/>
                      <wp:effectExtent l="0" t="0" r="0" b="0"/>
                      <wp:wrapNone/>
                      <wp:docPr id="39" name="Frame39"/>
                      <a:graphic xmlns:a="http://schemas.openxmlformats.org/drawingml/2006/main">
                        <a:graphicData uri="http://schemas.microsoft.com/office/word/2010/wordprocessingShape">
                          <wps:wsp>
                            <wps:cNvSpPr txBox="1"/>
                            <wps:spPr>
                              <a:xfrm>
                                <a:off x="0" y="0"/>
                                <a:ext cx="146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4620" cy="175260"/>
                      <wp:effectExtent l="0" t="0" r="0" b="0"/>
                      <wp:wrapNone/>
                      <wp:docPr id="41" name="Frame4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51790" cy="175260"/>
                      <wp:effectExtent l="0" t="0" r="0" b="0"/>
                      <wp:wrapNone/>
                      <wp:docPr id="42" name="Frame42"/>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8785" cy="175260"/>
                      <wp:effectExtent l="0" t="0" r="0" b="0"/>
                      <wp:wrapNone/>
                      <wp:docPr id="45" name="Frame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22250" cy="175260"/>
                      <wp:effectExtent l="0" t="0" r="0" b="0"/>
                      <wp:wrapNone/>
                      <wp:docPr id="50" name="Frame50"/>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49935" cy="175260"/>
                      <wp:effectExtent l="0" t="0" r="0" b="0"/>
                      <wp:wrapNone/>
                      <wp:docPr id="51" name="Frame51"/>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0495" cy="175260"/>
                      <wp:effectExtent l="0" t="0" r="0" b="0"/>
                      <wp:wrapNone/>
                      <wp:docPr id="53" name="Frame5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35915" cy="175260"/>
                      <wp:effectExtent l="0" t="0" r="0" b="0"/>
                      <wp:wrapNone/>
                      <wp:docPr id="54" name="Frame54"/>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05460" cy="175260"/>
                      <wp:effectExtent l="0" t="0" r="0" b="0"/>
                      <wp:wrapNone/>
                      <wp:docPr id="57" name="Frame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2" w:type="dxa"/>
            <w:tcBorders/>
            <w:vAlign w:val="center"/>
          </w:tcPr>
          <w:p>
            <w:pPr>
              <w:pStyle w:val="TableContents"/>
              <w:bidi w:val="0"/>
              <w:spacing w:before="0" w:after="0"/>
              <w:ind w:left="0" w:right="0" w:hanging="0"/>
              <w:jc w:val="center"/>
              <w:rPr/>
            </w:pPr>
            <w:r>
              <w:rPr/>
              <w:t>​</w:t>
            </w:r>
          </w:p>
        </w:tc>
        <w:tc>
          <w:tcPr>
            <w:tcW w:w="5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  ​ ​ ​</w:t>
            </w:r>
          </w:p>
        </w:tc>
        <w:tc>
          <w:tcPr>
            <w:tcW w:w="237" w:type="dxa"/>
            <w:tcBorders/>
            <w:vAlign w:val="center"/>
          </w:tcPr>
          <w:p>
            <w:pPr>
              <w:pStyle w:val="TableContents"/>
              <w:bidi w:val="0"/>
              <w:spacing w:before="0" w:after="0"/>
              <w:ind w:left="0" w:right="0" w:hanging="0"/>
              <w:jc w:val="center"/>
              <w:rPr/>
            </w:pPr>
            <w:r>
              <w:rPr/>
              <w:t>​</w:t>
            </w:r>
          </w:p>
        </w:tc>
        <w:tc>
          <w:tcPr>
            <w:tcW w:w="52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23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center"/>
              <w:rPr/>
            </w:pPr>
            <w:r>
              <w:rPr/>
              <w:t>​</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23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Surplus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April 1, 2026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165,823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173,311</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(50,625)</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291,664</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13,659</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13,659</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net of taxes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declared ($0.18 per share)</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(2,413)</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(2,413)</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(214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RSU's from liability to equity</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2,344</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168,162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184,557</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(49,246)</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306,628</w:t>
            </w:r>
          </w:p>
        </w:tc>
      </w:tr>
      <w:tr>
        <w:trPr/>
        <w:tc>
          <w:tcPr>
            <w:tcW w:w="230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30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January 1, 2026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164,592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164,434</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(47,807)</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284,364</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24,943</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24,943</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 net of taxes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(1,439)</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(1,439)</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declared ($0.36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(4,820)</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52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(4,820)</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(39,457 shares)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RSU's from liability to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2,344</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2026</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168,162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184,557</w:t>
            </w:r>
          </w:p>
        </w:tc>
        <w:tc>
          <w:tcPr>
            <w:tcW w:w="34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(49,246)</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306,628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47" w:name="Tc_7zcxpPTdPk2U5VUZdx8n7Q_20_17"/>
      <w:bookmarkStart w:id="548" w:name="Tc_tgMWX1MqP029bXBDgA56gQ_20_14"/>
      <w:bookmarkStart w:id="549" w:name="Tc_9XrrHmsask-v12hzkwGndw_20_11"/>
      <w:bookmarkStart w:id="550" w:name="Tc_Lm6XYNmVd0yoChnmr5gdHw_20_8"/>
      <w:bookmarkStart w:id="551" w:name="Tc_pAlgRFZU0ESqBEGWtCQiyQ_20_5"/>
      <w:bookmarkStart w:id="552" w:name="Tc_rbjtPgoIXU2Q9YjGJrRijw_20_2"/>
      <w:bookmarkStart w:id="553" w:name="Tc_2QMRl-VFaUuXpSv3ttaV4w_20_0"/>
      <w:bookmarkStart w:id="554" w:name="Tc_LRgZg_sVYEWNiaw4uRNNCA_19_15"/>
      <w:bookmarkStart w:id="555" w:name="Tc_XSr_LylBzEawkY8XOMCwDw_19_12"/>
      <w:bookmarkStart w:id="556" w:name="Tc_v2ucwX8I6EK6jZeVB08tTA_19_9"/>
      <w:bookmarkStart w:id="557" w:name="Tc_WQb_9FZtdUm8ctrwvEBqcA_19_0"/>
      <w:bookmarkStart w:id="558" w:name="Tc_VdB2iVDiAUGXIjDFlUcIHQ_18_12"/>
      <w:bookmarkStart w:id="559" w:name="Tc_I5UpnNr8qUmDTMkORGfzHg_18_9"/>
      <w:bookmarkStart w:id="560" w:name="Tc_AcipuR4yO0uIfW31d58x4w_18_0"/>
      <w:bookmarkStart w:id="561" w:name="Tc_6Zycmo-G4U20k55G3B8UVw_17_12"/>
      <w:bookmarkStart w:id="562" w:name="Tc_sKsxN4oKuUSTbDzwun0LgQ_17_9"/>
      <w:bookmarkStart w:id="563" w:name="Tc_0x2YxG8ej02LQVlP9Vw5kw_17_6"/>
      <w:bookmarkStart w:id="564" w:name="Tc_ovKMmG9JjkWMquzFF6TeAQ_17_3"/>
      <w:bookmarkStart w:id="565" w:name="Tc_l17HkfLI1E6bGYNxa52LIQ_17_0"/>
      <w:bookmarkStart w:id="566" w:name="Tc_HTt0UKrxCE-IIv9tdJVEfQ_16_15"/>
      <w:bookmarkStart w:id="567" w:name="Tc_wQN8Rd5C9EWhFc0otPHoaw_16_12"/>
      <w:bookmarkStart w:id="568" w:name="Tc_Zh85DJyI80WldWncaBd_Mg_16_6"/>
      <w:bookmarkStart w:id="569" w:name="Tc_Qq1zQD-xkUGQ-SoINM_T_A_16_3"/>
      <w:bookmarkStart w:id="570" w:name="Tc_oc0EgNJqGUS4x1Ezt1t4yg_16_0"/>
      <w:bookmarkStart w:id="571" w:name="Tc_ST812p8TN0a-TSfxXvSNOw_15_15"/>
      <w:bookmarkStart w:id="572" w:name="Tc_QKLvryC2wkeCuT41FRsJag_15_9"/>
      <w:bookmarkStart w:id="573" w:name="Tc_AYE27o8rDkm0Lf7Ok5UIfQ_15_6"/>
      <w:bookmarkStart w:id="574" w:name="Tc_ACebVJPq60yH8SBnF0KUzg_15_3"/>
      <w:bookmarkStart w:id="575" w:name="Tc_PNz7My_9gUC6kahHytk5GQ_15_0"/>
      <w:bookmarkStart w:id="576" w:name="Tc_X3gsVE3slk2FFuVWfJs1dg_14_15"/>
      <w:bookmarkStart w:id="577" w:name="Tc_TfnNjXjjckS7rj4toMY89g_14_12"/>
      <w:bookmarkStart w:id="578" w:name="Tc__YuO8ok6fU2BD5Lsd0uY2A_14_6"/>
      <w:bookmarkStart w:id="579" w:name="Tc_1aegqTkz2Eqxj7KNLVS48Q_14_3"/>
      <w:bookmarkStart w:id="580" w:name="Tc_EFu7ECNYWk22d02IY9JK5A_14_0"/>
      <w:bookmarkStart w:id="581" w:name="Tc_os3uubDo50i-0Yesy33JtA_13_17"/>
      <w:bookmarkStart w:id="582" w:name="Tc_RD_IjRNTRUeiegauvDyhLA_13_14"/>
      <w:bookmarkStart w:id="583" w:name="Tc_VzY0_3UECESx21QGh5fykg_13_11"/>
      <w:bookmarkStart w:id="584" w:name="Tc_JskHprnPNk2nAyquNYocHw_13_8"/>
      <w:bookmarkStart w:id="585" w:name="Tc_2rfuCtao_0WRnYlg8vwrUA_13_5"/>
      <w:bookmarkStart w:id="586" w:name="Tc_pXTs0tcowUW0Ng6pcMW3gg_13_2"/>
      <w:bookmarkStart w:id="587" w:name="Tc_vm4qMkiCnEqnvHu9KYS95A_13_0"/>
      <w:bookmarkStart w:id="588" w:name="Tc_ag2n2lKpeUeiDq2MNE0t9A_10_17"/>
      <w:bookmarkStart w:id="589" w:name="Tc_Gopv0jX-pkWSHBFFIIHXQw_10_14"/>
      <w:bookmarkStart w:id="590" w:name="Tc_hAHHKeZDyUaV7m6CZ22EJA_10_11"/>
      <w:bookmarkStart w:id="591" w:name="Tc_3qGEzdTuRUekRoC80uBrVg_10_8"/>
      <w:bookmarkStart w:id="592" w:name="Tc_ul9ju3vqakaISVTgcVG_Pg_10_5"/>
      <w:bookmarkStart w:id="593" w:name="Tc_krKOLzoUakmB7koYttFKMg_10_2"/>
      <w:bookmarkStart w:id="594" w:name="Tc_rtPtnGj5CkuboU_AGo8D5A_10_0"/>
      <w:bookmarkStart w:id="595" w:name="Tc_rAt0GmT9HE-se5ZGSWUXiA_9_15"/>
      <w:bookmarkStart w:id="596" w:name="Tc_eov8FcUCMU6al5W3VlJw-w_9_12"/>
      <w:bookmarkStart w:id="597" w:name="Tc_f5JDpqTRzUyUNfXuog8rMA_9_9"/>
      <w:bookmarkStart w:id="598" w:name="Tc_sswbpv6ZF0aiQ14MVCppMQ_9_0"/>
      <w:bookmarkStart w:id="599" w:name="Tc_BM3pVgRBF02p3mnxyOnhcA_8_15"/>
      <w:bookmarkStart w:id="600" w:name="Tc_bFNd4-lYT0axExF4d80h3Q_8_12"/>
      <w:bookmarkStart w:id="601" w:name="Tc_gPFMdm0kwEuKydX9adKIOw_8_9"/>
      <w:bookmarkStart w:id="602" w:name="Tc_TBUjxK4NKES8N4o7aIrG6Q_8_3"/>
      <w:bookmarkStart w:id="603" w:name="Tc_nCeXzrtIskeNxtMisd3YLQ_8_0"/>
      <w:bookmarkStart w:id="604" w:name="Tc_KMlbaZd40k6D14V7s7YKuQ_7_15"/>
      <w:bookmarkStart w:id="605" w:name="Tc_Ls9h7y_PXEuuui80itjo9A_7_12"/>
      <w:bookmarkStart w:id="606" w:name="Tc_nGkKRrzPrUyoRN-DHrvC6A_7_6"/>
      <w:bookmarkStart w:id="607" w:name="Tc_0Ntbg94TnkWO5yLnAm2tHw_7_3"/>
      <w:bookmarkStart w:id="608" w:name="Tc_ciUKVLH-xU-Vxj3mgj4UQw_7_0"/>
      <w:bookmarkStart w:id="609" w:name="Tc__lVFao2YCUC0ne3xxbIjCw_6_15"/>
      <w:bookmarkStart w:id="610" w:name="Tc_h-GZogX4-kKiTp-RKkXiug_6_9"/>
      <w:bookmarkStart w:id="611" w:name="Tc_W1s2wvOsFkyE2iZlZNzvZA_6_6"/>
      <w:bookmarkStart w:id="612" w:name="Tc_AmusZdwu60W7LzvBbGTZ_w_6_3"/>
      <w:bookmarkStart w:id="613" w:name="Tc_qPeeDdXYYk-lY9MBNldhLw_6_0"/>
      <w:bookmarkStart w:id="614" w:name="Tc_p32KHsbIB0SeMbQ1whG6mw_5_15"/>
      <w:bookmarkStart w:id="615" w:name="Tc_9M57REnJHUittapLos79RA_5_12"/>
      <w:bookmarkStart w:id="616" w:name="Tc_tNHzZY-Xckqx2JeSErUIzA_5_6"/>
      <w:bookmarkStart w:id="617" w:name="Tc_LzlwOnaLg0e8y85hbyHPNw_5_3"/>
      <w:bookmarkStart w:id="618" w:name="Tc_5Radz2EGR0W1rGCF5Kdv6w_5_0"/>
      <w:bookmarkStart w:id="619" w:name="Tc_5wmaL0H75kq6QVksG3G_Rw_4_17"/>
      <w:bookmarkStart w:id="620" w:name="Tc_HorTqd73Q0eQmCBiKS1Ozw_4_14"/>
      <w:bookmarkStart w:id="621" w:name="Tc_mh2Eb6FbK0KYO_DhxDiH8g_4_11"/>
      <w:bookmarkStart w:id="622" w:name="Tc_AehRnPhYnkK4kP2BzHB7Sw_4_8"/>
      <w:bookmarkStart w:id="623" w:name="Tc_CMH67YzeZUivkZVvSliBbg_4_5"/>
      <w:bookmarkStart w:id="624" w:name="Tc_3sCsxbpU1EeGXACTgvi0VQ_4_2"/>
      <w:bookmarkStart w:id="625" w:name="Tc_Op2sDoxsh0ueRrHhLp7R-w_4_0"/>
      <w:bookmarkStart w:id="626" w:name="Tc_voAL5e0oE02lk_5y-fxBDg_3_17"/>
      <w:bookmarkStart w:id="627" w:name="Tc_BTdHR3t-KEGoM3jr_FnlVQ_3_14"/>
      <w:bookmarkStart w:id="628" w:name="Tc_3bVfCCJTlkK3oOcLGVEwXw_3_11"/>
      <w:bookmarkStart w:id="629" w:name="Tc_j-QCTCGA8U6ss0EEijhorQ_3_8"/>
      <w:bookmarkStart w:id="630" w:name="Tc_P1jkrU46UkWC1-LG3TpJfg_3_5"/>
      <w:bookmarkStart w:id="631" w:name="Tc_nrI1nzvplEuHTUJhKCCPSw_3_2"/>
      <w:bookmarkStart w:id="632" w:name="Tc_Ut7bXX9i40SpH1DAgmyzzw_2_14"/>
      <w:bookmarkStart w:id="633" w:name="Tc_2t3Sf9uYA0mwZEFPhsAKHA_2_11"/>
      <w:bookmarkStart w:id="634" w:name="Tc_lzXXulH_XEyDZZXcHvjjPg_2_8"/>
      <w:bookmarkStart w:id="635" w:name="Tc_dpYf3QTxyk2nfzI0P5SZEQ_2_2"/>
      <w:bookmarkStart w:id="636" w:name="Tc_4bCbVDwTFUeg-RwqvZ0lCQ_1_11"/>
      <w:bookmarkStart w:id="637" w:name="_7a52723b_00b7_4149_bf12_9698550d3f1c"/>
      <w:bookmarkStart w:id="638" w:name="Tc_7zcxpPTdPk2U5VUZdx8n7Q_20_17"/>
      <w:bookmarkStart w:id="639" w:name="Tc_tgMWX1MqP029bXBDgA56gQ_20_14"/>
      <w:bookmarkStart w:id="640" w:name="Tc_9XrrHmsask-v12hzkwGndw_20_11"/>
      <w:bookmarkStart w:id="641" w:name="Tc_Lm6XYNmVd0yoChnmr5gdHw_20_8"/>
      <w:bookmarkStart w:id="642" w:name="Tc_pAlgRFZU0ESqBEGWtCQiyQ_20_5"/>
      <w:bookmarkStart w:id="643" w:name="Tc_rbjtPgoIXU2Q9YjGJrRijw_20_2"/>
      <w:bookmarkStart w:id="644" w:name="Tc_2QMRl-VFaUuXpSv3ttaV4w_20_0"/>
      <w:bookmarkStart w:id="645" w:name="Tc_LRgZg_sVYEWNiaw4uRNNCA_19_15"/>
      <w:bookmarkStart w:id="646" w:name="Tc_XSr_LylBzEawkY8XOMCwDw_19_12"/>
      <w:bookmarkStart w:id="647" w:name="Tc_v2ucwX8I6EK6jZeVB08tTA_19_9"/>
      <w:bookmarkStart w:id="648" w:name="Tc_WQb_9FZtdUm8ctrwvEBqcA_19_0"/>
      <w:bookmarkStart w:id="649" w:name="Tc_VdB2iVDiAUGXIjDFlUcIHQ_18_12"/>
      <w:bookmarkStart w:id="650" w:name="Tc_I5UpnNr8qUmDTMkORGfzHg_18_9"/>
      <w:bookmarkStart w:id="651" w:name="Tc_AcipuR4yO0uIfW31d58x4w_18_0"/>
      <w:bookmarkStart w:id="652" w:name="Tc_6Zycmo-G4U20k55G3B8UVw_17_12"/>
      <w:bookmarkStart w:id="653" w:name="Tc_sKsxN4oKuUSTbDzwun0LgQ_17_9"/>
      <w:bookmarkStart w:id="654" w:name="Tc_0x2YxG8ej02LQVlP9Vw5kw_17_6"/>
      <w:bookmarkStart w:id="655" w:name="Tc_ovKMmG9JjkWMquzFF6TeAQ_17_3"/>
      <w:bookmarkStart w:id="656" w:name="Tc_l17HkfLI1E6bGYNxa52LIQ_17_0"/>
      <w:bookmarkStart w:id="657" w:name="Tc_HTt0UKrxCE-IIv9tdJVEfQ_16_15"/>
      <w:bookmarkStart w:id="658" w:name="Tc_wQN8Rd5C9EWhFc0otPHoaw_16_12"/>
      <w:bookmarkStart w:id="659" w:name="Tc_Zh85DJyI80WldWncaBd_Mg_16_6"/>
      <w:bookmarkStart w:id="660" w:name="Tc_Qq1zQD-xkUGQ-SoINM_T_A_16_3"/>
      <w:bookmarkStart w:id="661" w:name="Tc_oc0EgNJqGUS4x1Ezt1t4yg_16_0"/>
      <w:bookmarkStart w:id="662" w:name="Tc_ST812p8TN0a-TSfxXvSNOw_15_15"/>
      <w:bookmarkStart w:id="663" w:name="Tc_QKLvryC2wkeCuT41FRsJag_15_9"/>
      <w:bookmarkStart w:id="664" w:name="Tc_AYE27o8rDkm0Lf7Ok5UIfQ_15_6"/>
      <w:bookmarkStart w:id="665" w:name="Tc_ACebVJPq60yH8SBnF0KUzg_15_3"/>
      <w:bookmarkStart w:id="666" w:name="Tc_PNz7My_9gUC6kahHytk5GQ_15_0"/>
      <w:bookmarkStart w:id="667" w:name="Tc_X3gsVE3slk2FFuVWfJs1dg_14_15"/>
      <w:bookmarkStart w:id="668" w:name="Tc_TfnNjXjjckS7rj4toMY89g_14_12"/>
      <w:bookmarkStart w:id="669" w:name="Tc__YuO8ok6fU2BD5Lsd0uY2A_14_6"/>
      <w:bookmarkStart w:id="670" w:name="Tc_1aegqTkz2Eqxj7KNLVS48Q_14_3"/>
      <w:bookmarkStart w:id="671" w:name="Tc_EFu7ECNYWk22d02IY9JK5A_14_0"/>
      <w:bookmarkStart w:id="672" w:name="Tc_os3uubDo50i-0Yesy33JtA_13_17"/>
      <w:bookmarkStart w:id="673" w:name="Tc_RD_IjRNTRUeiegauvDyhLA_13_14"/>
      <w:bookmarkStart w:id="674" w:name="Tc_VzY0_3UECESx21QGh5fykg_13_11"/>
      <w:bookmarkStart w:id="675" w:name="Tc_JskHprnPNk2nAyquNYocHw_13_8"/>
      <w:bookmarkStart w:id="676" w:name="Tc_2rfuCtao_0WRnYlg8vwrUA_13_5"/>
      <w:bookmarkStart w:id="677" w:name="Tc_pXTs0tcowUW0Ng6pcMW3gg_13_2"/>
      <w:bookmarkStart w:id="678" w:name="Tc_vm4qMkiCnEqnvHu9KYS95A_13_0"/>
      <w:bookmarkStart w:id="679" w:name="Tc_ag2n2lKpeUeiDq2MNE0t9A_10_17"/>
      <w:bookmarkStart w:id="680" w:name="Tc_Gopv0jX-pkWSHBFFIIHXQw_10_14"/>
      <w:bookmarkStart w:id="681" w:name="Tc_hAHHKeZDyUaV7m6CZ22EJA_10_11"/>
      <w:bookmarkStart w:id="682" w:name="Tc_3qGEzdTuRUekRoC80uBrVg_10_8"/>
      <w:bookmarkStart w:id="683" w:name="Tc_ul9ju3vqakaISVTgcVG_Pg_10_5"/>
      <w:bookmarkStart w:id="684" w:name="Tc_krKOLzoUakmB7koYttFKMg_10_2"/>
      <w:bookmarkStart w:id="685" w:name="Tc_rtPtnGj5CkuboU_AGo8D5A_10_0"/>
      <w:bookmarkStart w:id="686" w:name="Tc_rAt0GmT9HE-se5ZGSWUXiA_9_15"/>
      <w:bookmarkStart w:id="687" w:name="Tc_eov8FcUCMU6al5W3VlJw-w_9_12"/>
      <w:bookmarkStart w:id="688" w:name="Tc_f5JDpqTRzUyUNfXuog8rMA_9_9"/>
      <w:bookmarkStart w:id="689" w:name="Tc_sswbpv6ZF0aiQ14MVCppMQ_9_0"/>
      <w:bookmarkStart w:id="690" w:name="Tc_BM3pVgRBF02p3mnxyOnhcA_8_15"/>
      <w:bookmarkStart w:id="691" w:name="Tc_bFNd4-lYT0axExF4d80h3Q_8_12"/>
      <w:bookmarkStart w:id="692" w:name="Tc_gPFMdm0kwEuKydX9adKIOw_8_9"/>
      <w:bookmarkStart w:id="693" w:name="Tc_TBUjxK4NKES8N4o7aIrG6Q_8_3"/>
      <w:bookmarkStart w:id="694" w:name="Tc_nCeXzrtIskeNxtMisd3YLQ_8_0"/>
      <w:bookmarkStart w:id="695" w:name="Tc_KMlbaZd40k6D14V7s7YKuQ_7_15"/>
      <w:bookmarkStart w:id="696" w:name="Tc_Ls9h7y_PXEuuui80itjo9A_7_12"/>
      <w:bookmarkStart w:id="697" w:name="Tc_nGkKRrzPrUyoRN-DHrvC6A_7_6"/>
      <w:bookmarkStart w:id="698" w:name="Tc_0Ntbg94TnkWO5yLnAm2tHw_7_3"/>
      <w:bookmarkStart w:id="699" w:name="Tc_ciUKVLH-xU-Vxj3mgj4UQw_7_0"/>
      <w:bookmarkStart w:id="700" w:name="Tc__lVFao2YCUC0ne3xxbIjCw_6_15"/>
      <w:bookmarkStart w:id="701" w:name="Tc_h-GZogX4-kKiTp-RKkXiug_6_9"/>
      <w:bookmarkStart w:id="702" w:name="Tc_W1s2wvOsFkyE2iZlZNzvZA_6_6"/>
      <w:bookmarkStart w:id="703" w:name="Tc_AmusZdwu60W7LzvBbGTZ_w_6_3"/>
      <w:bookmarkStart w:id="704" w:name="Tc_qPeeDdXYYk-lY9MBNldhLw_6_0"/>
      <w:bookmarkStart w:id="705" w:name="Tc_p32KHsbIB0SeMbQ1whG6mw_5_15"/>
      <w:bookmarkStart w:id="706" w:name="Tc_9M57REnJHUittapLos79RA_5_12"/>
      <w:bookmarkStart w:id="707" w:name="Tc_tNHzZY-Xckqx2JeSErUIzA_5_6"/>
      <w:bookmarkStart w:id="708" w:name="Tc_LzlwOnaLg0e8y85hbyHPNw_5_3"/>
      <w:bookmarkStart w:id="709" w:name="Tc_5Radz2EGR0W1rGCF5Kdv6w_5_0"/>
      <w:bookmarkStart w:id="710" w:name="Tc_5wmaL0H75kq6QVksG3G_Rw_4_17"/>
      <w:bookmarkStart w:id="711" w:name="Tc_HorTqd73Q0eQmCBiKS1Ozw_4_14"/>
      <w:bookmarkStart w:id="712" w:name="Tc_mh2Eb6FbK0KYO_DhxDiH8g_4_11"/>
      <w:bookmarkStart w:id="713" w:name="Tc_AehRnPhYnkK4kP2BzHB7Sw_4_8"/>
      <w:bookmarkStart w:id="714" w:name="Tc_CMH67YzeZUivkZVvSliBbg_4_5"/>
      <w:bookmarkStart w:id="715" w:name="Tc_3sCsxbpU1EeGXACTgvi0VQ_4_2"/>
      <w:bookmarkStart w:id="716" w:name="Tc_Op2sDoxsh0ueRrHhLp7R-w_4_0"/>
      <w:bookmarkStart w:id="717" w:name="Tc_voAL5e0oE02lk_5y-fxBDg_3_17"/>
      <w:bookmarkStart w:id="718" w:name="Tc_BTdHR3t-KEGoM3jr_FnlVQ_3_14"/>
      <w:bookmarkStart w:id="719" w:name="Tc_3bVfCCJTlkK3oOcLGVEwXw_3_11"/>
      <w:bookmarkStart w:id="720" w:name="Tc_j-QCTCGA8U6ss0EEijhorQ_3_8"/>
      <w:bookmarkStart w:id="721" w:name="Tc_P1jkrU46UkWC1-LG3TpJfg_3_5"/>
      <w:bookmarkStart w:id="722" w:name="Tc_nrI1nzvplEuHTUJhKCCPSw_3_2"/>
      <w:bookmarkStart w:id="723" w:name="Tc_Ut7bXX9i40SpH1DAgmyzzw_2_14"/>
      <w:bookmarkStart w:id="724" w:name="Tc_2t3Sf9uYA0mwZEFPhsAKHA_2_11"/>
      <w:bookmarkStart w:id="725" w:name="Tc_lzXXulH_XEyDZZXcHvjjPg_2_8"/>
      <w:bookmarkStart w:id="726" w:name="Tc_dpYf3QTxyk2nfzI0P5SZEQ_2_2"/>
      <w:bookmarkStart w:id="727" w:name="Tc_4bCbVDwTFUeg-RwqvZ0lCQ_1_11"/>
      <w:bookmarkStart w:id="728" w:name="_7a52723b_00b7_4149_bf12_9698550d3f1c"/>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tbl>
      <w:tblPr>
        <w:tblW w:w="10205" w:type="dxa"/>
        <w:jc w:val="left"/>
        <w:tblInd w:w="0" w:type="dxa"/>
        <w:tblLayout w:type="fixed"/>
        <w:tblCellMar>
          <w:top w:w="0" w:type="dxa"/>
          <w:left w:w="0" w:type="dxa"/>
          <w:bottom w:w="0" w:type="dxa"/>
          <w:right w:w="0" w:type="dxa"/>
        </w:tblCellMar>
      </w:tblPr>
      <w:tblGrid>
        <w:gridCol w:w="2255"/>
        <w:gridCol w:w="346"/>
        <w:gridCol w:w="212"/>
        <w:gridCol w:w="554"/>
        <w:gridCol w:w="346"/>
        <w:gridCol w:w="196"/>
        <w:gridCol w:w="691"/>
        <w:gridCol w:w="346"/>
        <w:gridCol w:w="196"/>
        <w:gridCol w:w="691"/>
        <w:gridCol w:w="346"/>
        <w:gridCol w:w="350"/>
        <w:gridCol w:w="1181"/>
        <w:gridCol w:w="346"/>
        <w:gridCol w:w="251"/>
        <w:gridCol w:w="560"/>
        <w:gridCol w:w="346"/>
        <w:gridCol w:w="196"/>
        <w:gridCol w:w="796"/>
      </w:tblGrid>
      <w:tr>
        <w:trPr/>
        <w:tc>
          <w:tcPr>
            <w:tcW w:w="2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1925" cy="175260"/>
                      <wp:effectExtent l="0" t="0" r="0" b="0"/>
                      <wp:wrapNone/>
                      <wp:docPr id="58" name="Frame58"/>
                      <a:graphic xmlns:a="http://schemas.openxmlformats.org/drawingml/2006/main">
                        <a:graphicData uri="http://schemas.microsoft.com/office/word/2010/wordprocessingShape">
                          <wps:wsp>
                            <wps:cNvSpPr txBox="1"/>
                            <wps:spPr>
                              <a:xfrm>
                                <a:off x="0" y="0"/>
                                <a:ext cx="143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4620" cy="175260"/>
                      <wp:effectExtent l="0" t="0" r="0" b="0"/>
                      <wp:wrapNone/>
                      <wp:docPr id="60" name="Frame6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51790" cy="175260"/>
                      <wp:effectExtent l="0" t="0" r="0" b="0"/>
                      <wp:wrapNone/>
                      <wp:docPr id="61" name="Frame61"/>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38785" cy="175260"/>
                      <wp:effectExtent l="0" t="0" r="0" b="0"/>
                      <wp:wrapNone/>
                      <wp:docPr id="64" name="Frame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22250" cy="175260"/>
                      <wp:effectExtent l="0" t="0" r="0" b="0"/>
                      <wp:wrapNone/>
                      <wp:docPr id="69" name="Frame6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49935" cy="175260"/>
                      <wp:effectExtent l="0" t="0" r="0" b="0"/>
                      <wp:wrapNone/>
                      <wp:docPr id="70" name="Frame70"/>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59385" cy="175260"/>
                      <wp:effectExtent l="0" t="0" r="0" b="0"/>
                      <wp:wrapNone/>
                      <wp:docPr id="72" name="Frame7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55600" cy="175260"/>
                      <wp:effectExtent l="0" t="0" r="0" b="0"/>
                      <wp:wrapNone/>
                      <wp:docPr id="73" name="Frame73"/>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5460" cy="175260"/>
                      <wp:effectExtent l="0" t="0" r="0" b="0"/>
                      <wp:wrapNone/>
                      <wp:docPr id="76" name="Frame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2" w:type="dxa"/>
            <w:tcBorders/>
            <w:vAlign w:val="center"/>
          </w:tcPr>
          <w:p>
            <w:pPr>
              <w:pStyle w:val="TableContents"/>
              <w:bidi w:val="0"/>
              <w:spacing w:before="0" w:after="0"/>
              <w:ind w:left="0" w:right="0" w:hanging="0"/>
              <w:jc w:val="center"/>
              <w:rPr/>
            </w:pPr>
            <w:r>
              <w:rPr/>
              <w:t>​</w:t>
            </w:r>
          </w:p>
        </w:tc>
        <w:tc>
          <w:tcPr>
            <w:tcW w:w="5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  ​ ​ ​</w:t>
            </w:r>
          </w:p>
        </w:tc>
        <w:tc>
          <w:tcPr>
            <w:tcW w:w="251" w:type="dxa"/>
            <w:tcBorders/>
            <w:vAlign w:val="center"/>
          </w:tcPr>
          <w:p>
            <w:pPr>
              <w:pStyle w:val="TableContents"/>
              <w:bidi w:val="0"/>
              <w:spacing w:before="0" w:after="0"/>
              <w:ind w:left="0" w:right="0" w:hanging="0"/>
              <w:jc w:val="center"/>
              <w:rPr/>
            </w:pPr>
            <w:r>
              <w:rPr/>
              <w:t>​</w:t>
            </w:r>
          </w:p>
        </w:tc>
        <w:tc>
          <w:tcPr>
            <w:tcW w:w="5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2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 </w:t>
            </w:r>
          </w:p>
        </w:tc>
        <w:tc>
          <w:tcPr>
            <w:tcW w:w="346" w:type="dxa"/>
            <w:tcBorders/>
            <w:vAlign w:val="center"/>
          </w:tcPr>
          <w:p>
            <w:pPr>
              <w:pStyle w:val="TableContents"/>
              <w:bidi w:val="0"/>
              <w:spacing w:before="0" w:after="0"/>
              <w:ind w:left="0" w:right="0" w:hanging="0"/>
              <w:jc w:val="center"/>
              <w:rPr/>
            </w:pPr>
            <w:r>
              <w:rPr/>
              <w:t>​</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2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Surplus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April 1, 2025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121,546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137,148</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(60,019)</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201,324</w:t>
            </w:r>
          </w:p>
        </w:tc>
      </w:tr>
      <w:tr>
        <w:trPr/>
        <w:tc>
          <w:tcPr>
            <w:tcW w:w="2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10,461</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10,461</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net of taxes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w:t>
            </w:r>
          </w:p>
        </w:tc>
      </w:tr>
      <w:tr>
        <w:trPr/>
        <w:tc>
          <w:tcPr>
            <w:tcW w:w="2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declared ($0.13 per share)</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(1,480)</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(1,480)</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(680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2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shares for June 2025 capital raise (1,978,494 shares)</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43,190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43,685</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164,752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146,129</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(61,436)</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252,589</w:t>
            </w:r>
          </w:p>
        </w:tc>
      </w:tr>
      <w:tr>
        <w:trPr/>
        <w:tc>
          <w:tcPr>
            <w:tcW w:w="22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2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225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January 1, 2025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120,896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129,919</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(67,751)</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185,531</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19,165</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19,165</w:t>
            </w:r>
          </w:p>
        </w:tc>
      </w:tr>
      <w:tr>
        <w:trPr/>
        <w:tc>
          <w:tcPr>
            <w:tcW w:w="2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net of taxes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6,315</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6,315</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declared ($0.26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(2,955)</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(2,955)</w:t>
            </w:r>
          </w:p>
        </w:tc>
      </w:tr>
      <w:tr>
        <w:trPr/>
        <w:tc>
          <w:tcPr>
            <w:tcW w:w="2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Treasury stock purchased (5,925 shares)</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(40,185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r>
      <w:tr>
        <w:trPr/>
        <w:tc>
          <w:tcPr>
            <w:tcW w:w="22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shares for June 2025 capital raise (1,978,494 shares)</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43,190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43,685</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164,752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146,129</w:t>
            </w:r>
          </w:p>
        </w:tc>
        <w:tc>
          <w:tcPr>
            <w:tcW w:w="34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(61,436)</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252,589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29" w:name="_c1d42823_a288_4f1e_83bb_a6422f1e5c12"/>
      <w:bookmarkEnd w:id="729"/>
      <w:r>
        <w:rPr>
          <w:rFonts w:ascii="Times New Roman;Times;serif" w:hAnsi="Times New Roman;Times;serif"/>
          <w:b/>
          <w:sz w:val="20"/>
        </w:rPr>
        <w:t>ORANGE COUNTY BANCORP, INC.</w:t>
      </w:r>
    </w:p>
    <w:p>
      <w:pPr>
        <w:pStyle w:val="TextBody"/>
        <w:bidi w:val="0"/>
        <w:spacing w:before="0" w:after="0"/>
        <w:ind w:left="0" w:right="0" w:hanging="0"/>
        <w:jc w:val="center"/>
        <w:rPr>
          <w:rFonts w:ascii="Times New Roman;Times;serif" w:hAnsi="Times New Roman;Times;serif"/>
          <w:b/>
          <w:sz w:val="20"/>
        </w:rPr>
      </w:pPr>
      <w:bookmarkStart w:id="730" w:name="CondensedConsolidatedStatementsofCashFlo"/>
      <w:bookmarkEnd w:id="730"/>
      <w:r>
        <w:rPr>
          <w:rFonts w:ascii="Times New Roman;Times;serif" w:hAnsi="Times New Roman;Times;serif"/>
          <w:b/>
          <w:sz w:val="20"/>
        </w:rPr>
        <w:t>CONDENSED CONSOLIDATED STATEMENTS OF CASH FLOWS</w:t>
      </w:r>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 amounts in thousands except per share data)</w:t>
      </w:r>
    </w:p>
    <w:p>
      <w:pPr>
        <w:pStyle w:val="Normal"/>
        <w:bidi w:val="0"/>
        <w:spacing w:before="0" w:after="0"/>
        <w:jc w:val="left"/>
        <w:rPr>
          <w:sz w:val="4"/>
          <w:szCs w:val="4"/>
        </w:rPr>
      </w:pPr>
      <w:r>
        <w:rPr>
          <w:sz w:val="4"/>
          <w:szCs w:val="4"/>
        </w:rPr>
      </w:r>
      <w:bookmarkStart w:id="731" w:name="Tc_WQ31D55J5EyslgZ6AUfaBw_53_6"/>
      <w:bookmarkStart w:id="732" w:name="Tc_wlDX_OkwikqSTb8Js3IN-A_53_0"/>
      <w:bookmarkStart w:id="733" w:name="Tc_Xc42td7EvkWhZaAMLCPZEQ_52_6"/>
      <w:bookmarkStart w:id="734" w:name="Tc_o1cC16lX5EeZqI2yFnmIzQ_52_0"/>
      <w:bookmarkStart w:id="735" w:name="Tc_L1guBC4W_kqGt4JtJEB4hg_51_0"/>
      <w:bookmarkStart w:id="736" w:name="Tc__IIc_Mhw6UKe6Hbf53fqUg_50_0"/>
      <w:bookmarkStart w:id="737" w:name="Tc_0TeFpLJnPUWCuU_qiGHSgA_49_0"/>
      <w:bookmarkStart w:id="738" w:name="Tc_xmfjJP1XJ06K-bQLSOOtgg_48_0"/>
      <w:bookmarkStart w:id="739" w:name="Tc_UtCv1c6unEaFao5FXQ_C7Q_46_5"/>
      <w:bookmarkStart w:id="740" w:name="Tc_sDqe-ljNJ0-LChDiTR90OA_46_2"/>
      <w:bookmarkStart w:id="741" w:name="Tc_PLzU-lDKu02MQJ3lyPLidA_46_0"/>
      <w:bookmarkStart w:id="742" w:name="Tc_dsj58oKK2UmTqcAqJbvq_Q_45_0"/>
      <w:bookmarkStart w:id="743" w:name="Tc_vZDch6x--U6r6TVyBWvQaQ_44_0"/>
      <w:bookmarkStart w:id="744" w:name="Tc_iCmWrVxvBUSgzbrzkPzd1w_43_0"/>
      <w:bookmarkStart w:id="745" w:name="Tc_nMAEB-tcrESE0i2oSPAduw_42_3"/>
      <w:bookmarkStart w:id="746" w:name="Tc_uEAodrbMjUaijLV2bIEe2A_42_0"/>
      <w:bookmarkStart w:id="747" w:name="Tc_3hgt3SA200a5kJm3Y7PJHw_41_0"/>
      <w:bookmarkStart w:id="748" w:name="Tc_VNFR7pJ1oU6Ef3QGbsWByg_40_3"/>
      <w:bookmarkStart w:id="749" w:name="Tc_YrvEuI-N4UK0GpE9Bf64zw_40_0"/>
      <w:bookmarkStart w:id="750" w:name="Tc__4A7OZXwWEqKYXChyz7n6A_39_3"/>
      <w:bookmarkStart w:id="751" w:name="Tc_cYpSXgnA9USNPVsnwfsUgA_39_0"/>
      <w:bookmarkStart w:id="752" w:name="Tc_L87bNT_pJkWu-M2yZIlJvg_38_0"/>
      <w:bookmarkStart w:id="753" w:name="Tc_GbYJexEIt0arEXyvd-X1qA_37_0"/>
      <w:bookmarkStart w:id="754" w:name="Tc_azzWVNWigUOkhdiOE0Lb-Q_36_0"/>
      <w:bookmarkStart w:id="755" w:name="Tc_TQL-5jdYhE2YnWHgvtLNTA_35_3"/>
      <w:bookmarkStart w:id="756" w:name="Tc_sA5UFXCoQESLt5SZHsCi3Q_35_0"/>
      <w:bookmarkStart w:id="757" w:name="Tc_NqR9ojwFgk-h_Qx6och0Rw_34_3"/>
      <w:bookmarkStart w:id="758" w:name="Tc_6TCJIksMAk6h0uo6sSdeGA_34_0"/>
      <w:bookmarkStart w:id="759" w:name="Tc_wTLHcx2ss06gjCUvR1q3bA_33_0"/>
      <w:bookmarkStart w:id="760" w:name="Tc_0GWUiDbDU02FuuyntXvIEQ_32_0"/>
      <w:bookmarkStart w:id="761" w:name="Tc_4mA-xhxMhkW9knsFny90Tg_31_0"/>
      <w:bookmarkStart w:id="762" w:name="Tc_La1cFPFONUC2G4egWnx_GQ_30_0"/>
      <w:bookmarkStart w:id="763" w:name="Tc_GTdiMovCbUW9dUjD-xG8pA_29_0"/>
      <w:bookmarkStart w:id="764" w:name="Tc_EleFcb3T2E6VA3eJXy44Tw_28_0"/>
      <w:bookmarkStart w:id="765" w:name="Tc_ZlYKDrPi2kedTjk1UTR8kw_27_3"/>
      <w:bookmarkStart w:id="766" w:name="Tc_WEmnqVjBzkSRD2FFQLrUcA_27_0"/>
      <w:bookmarkStart w:id="767" w:name="Tc_R__2rnXopU6H1GjGEaoBqQ_26_0"/>
      <w:bookmarkStart w:id="768" w:name="Tc_XYaKusc6bkGsuzMySf1pOw_25_0"/>
      <w:bookmarkStart w:id="769" w:name="Tc_gnU44cQBRkGfhRTSQ_9lHA_24_0"/>
      <w:bookmarkStart w:id="770" w:name="Tc_BA_LNEh8dUKTK1p7GEdoCQ_23_0"/>
      <w:bookmarkStart w:id="771" w:name="Tc_oXKZ42ToNkSBYsde0ucaig_22_0"/>
      <w:bookmarkStart w:id="772" w:name="Tc_maPrGAK9GUWefOrXx3yT5A_21_0"/>
      <w:bookmarkStart w:id="773" w:name="Tc_w0qCYVJvGk6-AEdyZ4COww_20_0"/>
      <w:bookmarkStart w:id="774" w:name="Tc_6INA2ZPwC02Bf59PYidE0Q_19_6"/>
      <w:bookmarkStart w:id="775" w:name="Tc_ITwsmbIuWEqfgn5C9uba2w_19_0"/>
      <w:bookmarkStart w:id="776" w:name="Tc_IgLKkozZek2X_ScB_75HQg_18_3"/>
      <w:bookmarkStart w:id="777" w:name="Tc_EYXAFuRU1UyITZDoJyXM-g_18_0"/>
      <w:bookmarkStart w:id="778" w:name="Tc_BpoIoX2vPUyEbtgnKHeWOw_17_3"/>
      <w:bookmarkStart w:id="779" w:name="Tc_2wRSHFQLykS4iylKKSiQnA_17_0"/>
      <w:bookmarkStart w:id="780" w:name="Tc_MvGwhA4GpUmsDzvqGE3Jdw_16_0"/>
      <w:bookmarkStart w:id="781" w:name="Tc_QBQJIvG2Bka8py0NbDJ4og_15_0"/>
      <w:bookmarkStart w:id="782" w:name="Tc_IBXPRjRpGkGRsrvw-oln-Q_14_0"/>
      <w:bookmarkStart w:id="783" w:name="Tc_YyfsKYh9Ykin1O8VOx_0Hw_13_3"/>
      <w:bookmarkStart w:id="784" w:name="Tc_20BggRAMsESGd5wePMuDsg_13_0"/>
      <w:bookmarkStart w:id="785" w:name="Tc_JXufwtk7WECybk0L7CTYUQ_12_6"/>
      <w:bookmarkStart w:id="786" w:name="Tc_M_dJzKUDs0i_N22rikljmA_12_0"/>
      <w:bookmarkStart w:id="787" w:name="Tc_AeHv4FxgMUyfeEKGvE7Jiw_11_0"/>
      <w:bookmarkStart w:id="788" w:name="Tc_WmpqrPuumUKpRie2QJeteg_10_0"/>
      <w:bookmarkStart w:id="789" w:name="Tc_XPoqrhTxjU6YvNwUiQ_llg_9_0"/>
      <w:bookmarkStart w:id="790" w:name="Tc_zX5zReqNokqaOu0OD3bwzQ_8_0"/>
      <w:bookmarkStart w:id="791" w:name="Tc_nruJe18Y6UCUnFb7jBj7vQ_7_0"/>
      <w:bookmarkStart w:id="792" w:name="Tc_dOJ1PUOSf0KSFghgmdMrnQ_6_0"/>
      <w:bookmarkStart w:id="793" w:name="Tc_rWAOXIiOKUiXXXrk74ts9Q_5_5"/>
      <w:bookmarkStart w:id="794" w:name="Tc_We8BDpIaFkiK-Ud61MdX4g_5_2"/>
      <w:bookmarkStart w:id="795" w:name="Tc_PbSdwmXW_EWQYHsyllj9xw_5_0"/>
      <w:bookmarkStart w:id="796" w:name="Tc_MoPUsLbd3kCEoddTZZh1RQ_4_0"/>
      <w:bookmarkStart w:id="797" w:name="Tc_3ogURZbzv0COTXdD9wdUHQ_3_5"/>
      <w:bookmarkStart w:id="798" w:name="Tc_-47MP05xhUSrsFLFji-lUA_3_2"/>
      <w:bookmarkStart w:id="799" w:name="Tc_PM_Zur_BIEmigfmWOmBNEg_2_2"/>
      <w:bookmarkStart w:id="800" w:name="Tc_p0LthWpfwUKVKIFG2GepCA_1_2"/>
      <w:bookmarkStart w:id="801" w:name="_085892ac_03a2_4b90_bce2_f1e092bde4b4"/>
      <w:bookmarkStart w:id="802" w:name="Tc_WQ31D55J5EyslgZ6AUfaBw_53_6"/>
      <w:bookmarkStart w:id="803" w:name="Tc_wlDX_OkwikqSTb8Js3IN-A_53_0"/>
      <w:bookmarkStart w:id="804" w:name="Tc_Xc42td7EvkWhZaAMLCPZEQ_52_6"/>
      <w:bookmarkStart w:id="805" w:name="Tc_o1cC16lX5EeZqI2yFnmIzQ_52_0"/>
      <w:bookmarkStart w:id="806" w:name="Tc_L1guBC4W_kqGt4JtJEB4hg_51_0"/>
      <w:bookmarkStart w:id="807" w:name="Tc__IIc_Mhw6UKe6Hbf53fqUg_50_0"/>
      <w:bookmarkStart w:id="808" w:name="Tc_0TeFpLJnPUWCuU_qiGHSgA_49_0"/>
      <w:bookmarkStart w:id="809" w:name="Tc_xmfjJP1XJ06K-bQLSOOtgg_48_0"/>
      <w:bookmarkStart w:id="810" w:name="Tc_UtCv1c6unEaFao5FXQ_C7Q_46_5"/>
      <w:bookmarkStart w:id="811" w:name="Tc_sDqe-ljNJ0-LChDiTR90OA_46_2"/>
      <w:bookmarkStart w:id="812" w:name="Tc_PLzU-lDKu02MQJ3lyPLidA_46_0"/>
      <w:bookmarkStart w:id="813" w:name="Tc_dsj58oKK2UmTqcAqJbvq_Q_45_0"/>
      <w:bookmarkStart w:id="814" w:name="Tc_vZDch6x--U6r6TVyBWvQaQ_44_0"/>
      <w:bookmarkStart w:id="815" w:name="Tc_iCmWrVxvBUSgzbrzkPzd1w_43_0"/>
      <w:bookmarkStart w:id="816" w:name="Tc_nMAEB-tcrESE0i2oSPAduw_42_3"/>
      <w:bookmarkStart w:id="817" w:name="Tc_uEAodrbMjUaijLV2bIEe2A_42_0"/>
      <w:bookmarkStart w:id="818" w:name="Tc_3hgt3SA200a5kJm3Y7PJHw_41_0"/>
      <w:bookmarkStart w:id="819" w:name="Tc_VNFR7pJ1oU6Ef3QGbsWByg_40_3"/>
      <w:bookmarkStart w:id="820" w:name="Tc_YrvEuI-N4UK0GpE9Bf64zw_40_0"/>
      <w:bookmarkStart w:id="821" w:name="Tc__4A7OZXwWEqKYXChyz7n6A_39_3"/>
      <w:bookmarkStart w:id="822" w:name="Tc_cYpSXgnA9USNPVsnwfsUgA_39_0"/>
      <w:bookmarkStart w:id="823" w:name="Tc_L87bNT_pJkWu-M2yZIlJvg_38_0"/>
      <w:bookmarkStart w:id="824" w:name="Tc_GbYJexEIt0arEXyvd-X1qA_37_0"/>
      <w:bookmarkStart w:id="825" w:name="Tc_azzWVNWigUOkhdiOE0Lb-Q_36_0"/>
      <w:bookmarkStart w:id="826" w:name="Tc_TQL-5jdYhE2YnWHgvtLNTA_35_3"/>
      <w:bookmarkStart w:id="827" w:name="Tc_sA5UFXCoQESLt5SZHsCi3Q_35_0"/>
      <w:bookmarkStart w:id="828" w:name="Tc_NqR9ojwFgk-h_Qx6och0Rw_34_3"/>
      <w:bookmarkStart w:id="829" w:name="Tc_6TCJIksMAk6h0uo6sSdeGA_34_0"/>
      <w:bookmarkStart w:id="830" w:name="Tc_wTLHcx2ss06gjCUvR1q3bA_33_0"/>
      <w:bookmarkStart w:id="831" w:name="Tc_0GWUiDbDU02FuuyntXvIEQ_32_0"/>
      <w:bookmarkStart w:id="832" w:name="Tc_4mA-xhxMhkW9knsFny90Tg_31_0"/>
      <w:bookmarkStart w:id="833" w:name="Tc_La1cFPFONUC2G4egWnx_GQ_30_0"/>
      <w:bookmarkStart w:id="834" w:name="Tc_GTdiMovCbUW9dUjD-xG8pA_29_0"/>
      <w:bookmarkStart w:id="835" w:name="Tc_EleFcb3T2E6VA3eJXy44Tw_28_0"/>
      <w:bookmarkStart w:id="836" w:name="Tc_ZlYKDrPi2kedTjk1UTR8kw_27_3"/>
      <w:bookmarkStart w:id="837" w:name="Tc_WEmnqVjBzkSRD2FFQLrUcA_27_0"/>
      <w:bookmarkStart w:id="838" w:name="Tc_R__2rnXopU6H1GjGEaoBqQ_26_0"/>
      <w:bookmarkStart w:id="839" w:name="Tc_XYaKusc6bkGsuzMySf1pOw_25_0"/>
      <w:bookmarkStart w:id="840" w:name="Tc_gnU44cQBRkGfhRTSQ_9lHA_24_0"/>
      <w:bookmarkStart w:id="841" w:name="Tc_BA_LNEh8dUKTK1p7GEdoCQ_23_0"/>
      <w:bookmarkStart w:id="842" w:name="Tc_oXKZ42ToNkSBYsde0ucaig_22_0"/>
      <w:bookmarkStart w:id="843" w:name="Tc_maPrGAK9GUWefOrXx3yT5A_21_0"/>
      <w:bookmarkStart w:id="844" w:name="Tc_w0qCYVJvGk6-AEdyZ4COww_20_0"/>
      <w:bookmarkStart w:id="845" w:name="Tc_6INA2ZPwC02Bf59PYidE0Q_19_6"/>
      <w:bookmarkStart w:id="846" w:name="Tc_ITwsmbIuWEqfgn5C9uba2w_19_0"/>
      <w:bookmarkStart w:id="847" w:name="Tc_IgLKkozZek2X_ScB_75HQg_18_3"/>
      <w:bookmarkStart w:id="848" w:name="Tc_EYXAFuRU1UyITZDoJyXM-g_18_0"/>
      <w:bookmarkStart w:id="849" w:name="Tc_BpoIoX2vPUyEbtgnKHeWOw_17_3"/>
      <w:bookmarkStart w:id="850" w:name="Tc_2wRSHFQLykS4iylKKSiQnA_17_0"/>
      <w:bookmarkStart w:id="851" w:name="Tc_MvGwhA4GpUmsDzvqGE3Jdw_16_0"/>
      <w:bookmarkStart w:id="852" w:name="Tc_QBQJIvG2Bka8py0NbDJ4og_15_0"/>
      <w:bookmarkStart w:id="853" w:name="Tc_IBXPRjRpGkGRsrvw-oln-Q_14_0"/>
      <w:bookmarkStart w:id="854" w:name="Tc_YyfsKYh9Ykin1O8VOx_0Hw_13_3"/>
      <w:bookmarkStart w:id="855" w:name="Tc_20BggRAMsESGd5wePMuDsg_13_0"/>
      <w:bookmarkStart w:id="856" w:name="Tc_JXufwtk7WECybk0L7CTYUQ_12_6"/>
      <w:bookmarkStart w:id="857" w:name="Tc_M_dJzKUDs0i_N22rikljmA_12_0"/>
      <w:bookmarkStart w:id="858" w:name="Tc_AeHv4FxgMUyfeEKGvE7Jiw_11_0"/>
      <w:bookmarkStart w:id="859" w:name="Tc_WmpqrPuumUKpRie2QJeteg_10_0"/>
      <w:bookmarkStart w:id="860" w:name="Tc_XPoqrhTxjU6YvNwUiQ_llg_9_0"/>
      <w:bookmarkStart w:id="861" w:name="Tc_zX5zReqNokqaOu0OD3bwzQ_8_0"/>
      <w:bookmarkStart w:id="862" w:name="Tc_nruJe18Y6UCUnFb7jBj7vQ_7_0"/>
      <w:bookmarkStart w:id="863" w:name="Tc_dOJ1PUOSf0KSFghgmdMrnQ_6_0"/>
      <w:bookmarkStart w:id="864" w:name="Tc_rWAOXIiOKUiXXXrk74ts9Q_5_5"/>
      <w:bookmarkStart w:id="865" w:name="Tc_We8BDpIaFkiK-Ud61MdX4g_5_2"/>
      <w:bookmarkStart w:id="866" w:name="Tc_PbSdwmXW_EWQYHsyllj9xw_5_0"/>
      <w:bookmarkStart w:id="867" w:name="Tc_MoPUsLbd3kCEoddTZZh1RQ_4_0"/>
      <w:bookmarkStart w:id="868" w:name="Tc_3ogURZbzv0COTXdD9wdUHQ_3_5"/>
      <w:bookmarkStart w:id="869" w:name="Tc_-47MP05xhUSrsFLFji-lUA_3_2"/>
      <w:bookmarkStart w:id="870" w:name="Tc_PM_Zur_BIEmigfmWOmBNEg_2_2"/>
      <w:bookmarkStart w:id="871" w:name="Tc_p0LthWpfwUKVKIFG2GepCA_1_2"/>
      <w:bookmarkStart w:id="872" w:name="_085892ac_03a2_4b90_bce2_f1e092bde4b4"/>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tbl>
      <w:tblPr>
        <w:tblW w:w="8452" w:type="dxa"/>
        <w:jc w:val="left"/>
        <w:tblInd w:w="0" w:type="dxa"/>
        <w:tblLayout w:type="fixed"/>
        <w:tblCellMar>
          <w:top w:w="0" w:type="dxa"/>
          <w:left w:w="0" w:type="dxa"/>
          <w:bottom w:w="0" w:type="dxa"/>
          <w:right w:w="0" w:type="dxa"/>
        </w:tblCellMar>
      </w:tblPr>
      <w:tblGrid>
        <w:gridCol w:w="5791"/>
        <w:gridCol w:w="346"/>
        <w:gridCol w:w="196"/>
        <w:gridCol w:w="721"/>
        <w:gridCol w:w="346"/>
        <w:gridCol w:w="196"/>
        <w:gridCol w:w="85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77285" cy="175260"/>
                      <wp:effectExtent l="0" t="0" r="0" b="0"/>
                      <wp:wrapNone/>
                      <wp:docPr id="77" name="Frame77"/>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57835" cy="175260"/>
                      <wp:effectExtent l="0" t="0" r="0" b="0"/>
                      <wp:wrapNone/>
                      <wp:docPr id="80" name="Frame8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43560" cy="175260"/>
                      <wp:effectExtent l="0" t="0" r="0" b="0"/>
                      <wp:wrapNone/>
                      <wp:docPr id="83" name="Frame8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  ​</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24,943</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19,165</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Provision (credit) for credit losses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2,315</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787</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on loans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(932)</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(1,258)</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intangibles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subordinated notes issuance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(3,350)</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securities losses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1,006</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amortization of investment premiums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446</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on bank owned life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bank owned life insurance proceeds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(2,399)</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on sale of asset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Valuation loss on loans held-for-sale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change in: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(3,785)</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(13,940)</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(1,627)</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from/(used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22,812</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investment securities 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(2,812)</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 of investment securities available-for-sale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13,688</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paydowns of investment securities 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18,255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19,580</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maturities and calls of investment securities available-for-sale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4,077</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9,115</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restricted investment in bank stocks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(24,216)</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redemptions of restricted investment in bank stocks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28,314</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in loans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(27,946)</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(100,777)</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premises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(813)</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(1,227)</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 of premises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2,535</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Proceeds from bank owned life insurance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9,750</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from/(used by)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(8,117)</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(46,050)</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in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120,818</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123,364</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change in FHLB advances, short term</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(92,500)</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raise, net of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43,685</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paid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(2,955)</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Purchases of treasury stock</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from/(used by)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115,998</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71,436</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130,693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25,272</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204,232</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150,334</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Ending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334,925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175,606</w:t>
            </w:r>
          </w:p>
        </w:tc>
      </w:tr>
      <w:tr>
        <w:trPr/>
        <w:tc>
          <w:tcPr>
            <w:tcW w:w="5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paid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16,097</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taxes paid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4,390</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Supplemental noncash disclosures: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pPr>
            <w:r>
              <w:rPr/>
              <w:t>​</w:t>
            </w:r>
          </w:p>
        </w:tc>
      </w:tr>
      <w:tr>
        <w:trPr/>
        <w:tc>
          <w:tcPr>
            <w:tcW w:w="57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transferred to held-for-sale, net of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57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Liability to equity change for RSU's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873" w:name="Note1SummaryofSignificantAccountingPolic"/>
      <w:bookmarkEnd w:id="873"/>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 Nature of Operations and Summary of Significant Accounting Policies</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i/>
          <w:sz w:val="20"/>
        </w:rPr>
        <w:t xml:space="preserve">Nature of Operations and Principles of Consolidation: </w:t>
      </w:r>
      <w:r>
        <w:rPr>
          <w:rFonts w:ascii="Times New Roman;Times;serif" w:hAnsi="Times New Roman;Times;serif"/>
          <w:sz w:val="20"/>
        </w:rPr>
        <w:t>The unaudited consolidated financial statements include Orange County Bancorp, Inc., a Delaware bank holding company (“Orange County Bancorp”) and its wholly owned subsidiaries: Orange Bank &amp; Trust Company, a New York trust company (the “Bank”) and Orange Investment Advisors (“OIA”), formerly known as Hudson Valley Investment Advisors (“HVIA”), a Registered Investment Advisor, together referred to as the “Company.” Intercompany transactions and balances are eliminated in consolidation.</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The Company provides commercial and consumer banking services to individuals, small businesses and local municipal governments as well as trust and investment services through the Bank and OIA. The Company is headquartered in Middletown, New York, with seven locations in Orange County, New York, seven in Westchester County, New York, two in Rockland County, New York, and two in Bronx County, New York. Its primary deposit products are checking, savings, and term certificate accounts, and its primary lending products are commercial real estate, commercial and residential mortgage loans. Substantially all loans are secured by specific items of collateral including business assets, consumer assets, and commercial and residential real estate. Commercial loans are expected to be repaid from cash flow from operations of businesses. Other than commercial real estate, there are no significant concentrations of loans to any one industry or customer. However, the customers’ ability to repay their loans is dependent on the real estate and general economic conditions in the areas in which they operate.</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Assets held by the Company in an agency or fiduciary capacity for its customers are excluded from the consolidated financial statements since they do not constitute assets of the Company. Assets held by the Company in an agency or fiduciary capacity for its customers amounted to $1.7 billion and $1.9 billion at June 30, 2026 and December 31, 2025, respectively.</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Certain information and footnote disclosures normally included in the audited consolidated financial statements prepared in accordance with U.S. generally accepted accounting principles have been condensed or omitted pursuant to the rules and regulations of the Securities and Exchange Commission. These unaudited consolidated financial statements should be read in conjunction with the audited consolidated financial statements and notes for the year ended December 31, 2025 for Orange County Bancorp contained in the Company’s Annual Report on Form 10-K as filed with the Securities and Exchange Commission on March 16, 2026. In the opinion of the management of the Company, the accompanying unaudited condensed consolidated financial statements contain all adjustments (consisting solely of normal and recurring accruals) necessary to present fairly the financial position as of June 30, 2026, the results of operations, comprehensive income, and changes in stockholders’ equity for the three and six months ended June 30, 2026 and 2025 and cash flow statements for the six months ended June 30, 2026 and 2025. The results of operations for any interim period are not necessarily indicative of the results that may be expected for the full year or for any future period. Certain reclassifications have been made to the financial statements to conform with prior period presentations.</w:t>
      </w:r>
    </w:p>
    <w:p>
      <w:pPr>
        <w:pStyle w:val="TextBody"/>
        <w:bidi w:val="0"/>
        <w:spacing w:before="0" w:after="240"/>
        <w:ind w:left="0" w:right="0" w:firstLine="403"/>
        <w:jc w:val="both"/>
        <w:rPr>
          <w:rFonts w:ascii="Times New Roman;Times;serif" w:hAnsi="Times New Roman;Times;serif"/>
          <w:sz w:val="20"/>
        </w:rPr>
      </w:pPr>
      <w:r>
        <w:rPr>
          <w:rFonts w:ascii="Times New Roman;Times;serif" w:hAnsi="Times New Roman;Times;serif"/>
          <w:i/>
          <w:sz w:val="20"/>
        </w:rPr>
        <w:t xml:space="preserve">Use of Estimates: </w:t>
      </w:r>
      <w:r>
        <w:rPr>
          <w:rFonts w:ascii="Times New Roman;Times;serif" w:hAnsi="Times New Roman;Times;serif"/>
          <w:sz w:val="20"/>
        </w:rPr>
        <w:t>To prepare financial statements in conformity with U.S. generally accepted accounting principles, management makes estimates and assumptions based on available information. These estimates and assumptions affect the amounts reported in the financial statements and the disclosures provided, and actual results could differ.</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i/>
          <w:sz w:val="20"/>
        </w:rPr>
        <w:t>Recent Accounting Pronouncements</w:t>
      </w:r>
      <w:r>
        <w:rPr>
          <w:rFonts w:ascii="Times New Roman;Times;serif" w:hAnsi="Times New Roman;Times;serif"/>
          <w:sz w:val="20"/>
        </w:rPr>
        <w:t xml:space="preserve">: In November 2023, the FASB issued ASU 2023-07, Segment Reporting (Topic 280): Improvements to Reportable Segment Disclosures, enhancing disclosure requirements for reportable segments, focusing on significant segment expenses, the identification of a segment's chief decision making officer, and the metrics used by the chief decision making officer in evaluating segment-level operating performance. </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 xml:space="preserve">In December 2023, the FASB issued ASU No. 2023-09—Income Taxes (Topic 740)—Improvements to Income Tax Disclosures, intended to enhance the transparency of income tax disclosures, primarily related to the rate reconciliation and income taxes paid information. </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 xml:space="preserve">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 </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 xml:space="preserve">The Company adopted ASU 2023-09 on January 1, 2025.  The adoption did not have a material impact on the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99"/>
        <w:jc w:val="both"/>
        <w:rPr>
          <w:rFonts w:ascii="Times New Roman;Times;serif" w:hAnsi="Times New Roman;Times;serif"/>
          <w:i/>
          <w:sz w:val="20"/>
        </w:rPr>
      </w:pPr>
      <w:r>
        <w:rPr>
          <w:rFonts w:ascii="Times New Roman;Times;serif" w:hAnsi="Times New Roman;Times;serif"/>
          <w:i/>
          <w:sz w:val="20"/>
        </w:rPr>
        <w:t>Allowance for Credit Losses on Loans Receivable</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The allowance for credit losses on loans is deducted from the amortized cost basis of the loan to present the net amount expected to be collected. Expected losses are evaluated and calculated on a collective, or pooled, basis for those loans which share similar risk characteristics. If the loan does not share risk characteristics with other loans, the Company will evaluate the loan on an individual basis. Individually evaluated loans are primarily non-accrual and collateral dependent loans. Periodically, certain substandard loans may be downgraded according to policy guidelines but will exhibit characteristics which do not require individual evaluation. The related allowance for those loans would be based on the pooling methodology in determining the appropriate reserve. Furthermore, the Company evaluates the pooling methodology at least annually to ensure that loans with similar risk characteristics are pooled appropriately. Loans are charged off against the allowance for credit losses when the Company believes the balances to be uncollectible. Expected recoveries do not exceed the aggregate of amounts previously charged off or expected to be charged off. The Company does not estimate expected losses on accrued interest receivable on loans, as accrued interest receivable is reversed or written off when the full collection of the accrued interest receivable related to a loan becomes doubtful.</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The Company has chosen to segment its portfolio consistent with the manner in which it manages credit risk. The Company calculates estimated credit losses for these loan segments using quantitative models and qualitative factors. Further information on loan segmentation and the credit loss estimation is included in Note 3 – Loans and Allowance for Credit Losses.</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During the quarter ended March 31, 2025, the Company updated and enhanced its Allowance for Credit Losses (“ACL”) estimation methodology related to the observed loss histories across its peer group and the evaluation of qualitative factors under the CECL framework. Specifically, the Company expanded its comparative peer group and the associated loss history for these institutions to include observations through December 31, 2024 and separately, adopted a scorecard-based approach to assess qualitative adjustments applied to the modeled credit loss estimates. During the quarter ended March 31, 2026 the Company again evaluated its comparative peer groups across asset classes and refreshed the associated loss history for those institutions to include observations through December 31, 2025 and to ensure reasonable and supportable model forecasts.  </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These updates were made to enhance forecasting accuracy based on current economic data and to improve consistency, transparency, and documentation in the evaluation of qualitative factors across the Company’s loan portfolios. The scorecard incorporates a structured assessment of various internal and external indicators, including changes in credit underwriting standards, economic and business conditions, probability of loss estimates, and portfolio composition among other criteria. These indicators are based on predefined criteria, with the results used to determine directional adjustments to the modeled loss rates.</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Neither the model calibration employed to update loss drivers, nor the adoption of the scorecard represented a change in accounting principle; but rather a refinement in estimation technique within the existing CECL framework. The updated methodology has been applied consistently in the three and six month periods ended June 30, 2026. The impact of these refinements was not material to the Company’s consolidated financial statements for the three or six month periods ended June 30, 2026.</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The Company believes this enhancement better aligns the quantitative and qualitative framework with regulatory expectations and internal risk management practices, and supports more consistent application over time.</w:t>
      </w:r>
    </w:p>
    <w:p>
      <w:pPr>
        <w:pStyle w:val="TextBody"/>
        <w:bidi w:val="0"/>
        <w:spacing w:before="0" w:after="240"/>
        <w:ind w:left="0" w:right="0" w:firstLine="399"/>
        <w:jc w:val="both"/>
        <w:rPr>
          <w:rFonts w:ascii="Times New Roman;Times;serif" w:hAnsi="Times New Roman;Times;serif"/>
          <w:i/>
          <w:sz w:val="20"/>
        </w:rPr>
      </w:pPr>
      <w:r>
        <w:rPr>
          <w:rFonts w:ascii="Times New Roman;Times;serif" w:hAnsi="Times New Roman;Times;serif"/>
          <w:i/>
          <w:sz w:val="20"/>
        </w:rPr>
        <w:t>Individually Evaluated Loans</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On a case-by-case basis, the Company may conclude that a loan should be evaluated on an individual basis based on its disparate risk characteristics. When the Company determines that a loan no longer shares similar risk characteristics with other loans in the portfolio, the allowance will be determined on an individual basis using the present value of expected cash flows or, for collateral-dependent loans, the fair value of the collateral as of the reporting date, less estimated selling costs, as applicable. If the fair value of the collateral is less than the amortized cost basis of the loan, the Company will charge off the difference between the fair value of the collateral, less costs to sell at the reporting date and the amortized cost basis of the loan.  </w:t>
      </w:r>
    </w:p>
    <w:p>
      <w:pPr>
        <w:pStyle w:val="TextBody"/>
        <w:bidi w:val="0"/>
        <w:spacing w:before="0" w:after="240"/>
        <w:ind w:left="0" w:right="0" w:firstLine="399"/>
        <w:jc w:val="both"/>
        <w:rPr>
          <w:rFonts w:ascii="Times New Roman;Times;serif" w:hAnsi="Times New Roman;Times;serif"/>
          <w:i/>
          <w:sz w:val="20"/>
        </w:rPr>
      </w:pPr>
      <w:r>
        <w:rPr>
          <w:rFonts w:ascii="Times New Roman;Times;serif" w:hAnsi="Times New Roman;Times;serif"/>
          <w:i/>
          <w:sz w:val="20"/>
        </w:rPr>
        <w:t>Allowance for Credit Losses on Off-Balance Sheet Commitments</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The Company is required to include unfunded commitments that are expected to be funded in the future within the allowance calculation, other than those that are unconditionally cancelable. To arrive at that reserve, the reserve percentage for each applicable segment is applied to the unused portion of the expected commitment balance and is multiplied by the expected funding rate. As noted above, the allowance for credit losses on unfunded loan commitments is included in other liabilities on the consolidated statement of financial condition and the related credit expense is recorded as provisions for credit losses in the consolidated statements of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99"/>
        <w:jc w:val="both"/>
        <w:rPr>
          <w:rFonts w:ascii="Times New Roman;Times;serif" w:hAnsi="Times New Roman;Times;serif"/>
          <w:i/>
          <w:sz w:val="20"/>
        </w:rPr>
      </w:pPr>
      <w:r>
        <w:rPr>
          <w:rFonts w:ascii="Times New Roman;Times;serif" w:hAnsi="Times New Roman;Times;serif"/>
          <w:i/>
          <w:sz w:val="20"/>
        </w:rPr>
        <w:t>Allowance for Credit Losses on Available for Sale Securities</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 xml:space="preserve">For available for sale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the above criteria, the Company evaluates whether the decline in fair value has resulted from credit losses or other factors. In making this assessment, the Company considers the extent to which fair value is less than amortized cost and adverse conditions related to the security, among other factors. 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exists and an allowance for credit losses is recorded for the credit loss, limited by the amount that the fair value is less than the amortized cost. Any impairment that has not been recorded through an allowance for credit losses is recognized in other comprehensive income, net of tax. </w:t>
      </w:r>
    </w:p>
    <w:p>
      <w:pPr>
        <w:pStyle w:val="TextBody"/>
        <w:bidi w:val="0"/>
        <w:spacing w:before="0" w:after="0"/>
        <w:ind w:left="0" w:right="0" w:firstLine="399"/>
        <w:jc w:val="both"/>
        <w:rPr>
          <w:rFonts w:ascii="Times New Roman;Times;serif" w:hAnsi="Times New Roman;Times;serif"/>
          <w:sz w:val="20"/>
        </w:rPr>
      </w:pPr>
      <w:r>
        <w:rPr>
          <w:rFonts w:ascii="Times New Roman;Times;serif" w:hAnsi="Times New Roman;Times;serif"/>
          <w:sz w:val="20"/>
        </w:rPr>
        <w:t xml:space="preserve">Changes in the allowance for credit losses are recorded as provision for, or reversal of, credit loss expense. Losses are charged against the allowance when management believes the uncollectibility of an available for sale security is confirmed or when either of the criteria regarding intent or requirement to sell is met. The Company does not estimate expected losses on accrued interest receivable on investments, as accrued interest receivable is reversed or written off when the full collection of the accrued interest receivable related to an investment becomes doubtful. </w:t>
      </w:r>
    </w:p>
    <w:p>
      <w:pPr>
        <w:pStyle w:val="TextBody"/>
        <w:bidi w:val="0"/>
        <w:spacing w:before="0" w:after="240"/>
        <w:ind w:left="0" w:right="0" w:firstLine="399"/>
        <w:jc w:val="both"/>
        <w:rPr/>
      </w:pPr>
      <w:r>
        <w:rPr/>
        <w:t>​</w:t>
      </w:r>
    </w:p>
    <w:p>
      <w:pPr>
        <w:pStyle w:val="TextBody"/>
        <w:bidi w:val="0"/>
        <w:spacing w:before="0" w:after="240"/>
        <w:ind w:left="0" w:right="0" w:firstLine="399"/>
        <w:jc w:val="both"/>
        <w:rPr/>
      </w:pPr>
      <w:r>
        <w:rPr/>
        <w:t>​</w:t>
      </w:r>
    </w:p>
    <w:p>
      <w:pPr>
        <w:pStyle w:val="TextBody"/>
        <w:bidi w:val="0"/>
        <w:spacing w:before="0" w:after="240"/>
        <w:ind w:left="0" w:right="0" w:firstLine="399"/>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74" w:name="Tc_nyg3ocAJ6k-Htff6zXxKGQ_11_5"/>
      <w:bookmarkStart w:id="875" w:name="Tc_8T0JgLNsI0-kchrgso_j3Q_11_2"/>
      <w:bookmarkStart w:id="876" w:name="Tc_7zHtFiTmNEqmDW5jr_EzOA_11_0"/>
      <w:bookmarkStart w:id="877" w:name="Tc_9CB7ylOH10O28oWpXarpBQ_10_0"/>
      <w:bookmarkStart w:id="878" w:name="Tc_M01SgMqvGEOolnNfmFBCeA_8_0"/>
      <w:bookmarkStart w:id="879" w:name="Tc_SDApYXTyv0e3ttGW5FqAbA_7_0"/>
      <w:bookmarkStart w:id="880" w:name="Tc_pL0U3Q1BgUy4C-nOEg0bUA_6_0"/>
      <w:bookmarkStart w:id="881" w:name="Tc_pi7YkdCUS0KOvP2p6q92bQ_5_5"/>
      <w:bookmarkStart w:id="882" w:name="Tc_a-h08ECWX0uLRNte8DR6WQ_5_2"/>
      <w:bookmarkStart w:id="883" w:name="Tc_8pzmZSChiEK8IvjxMhgf2A_5_0"/>
      <w:bookmarkStart w:id="884" w:name="Tc_5cM-R8v03kaggUJ3vckHYw_4_2"/>
      <w:bookmarkStart w:id="885" w:name="Tc_iwxmEHY6LE262faaIdfmmw_3_5"/>
      <w:bookmarkStart w:id="886" w:name="Tc_zSLXuSIWpEGZGuDQbqP6YQ_3_2"/>
      <w:bookmarkStart w:id="887" w:name="Tc_zV5PEUNgDEuuGNMovUwKmQ_2_5"/>
      <w:bookmarkStart w:id="888" w:name="Tc_XDiHDiGz2EWoQ6WWcb2Qog_2_2"/>
      <w:bookmarkStart w:id="889" w:name="Tc_8dGcYduzdUmIBlRa0cDzbQ_1_2"/>
      <w:bookmarkStart w:id="890" w:name="Tc_Fcms5ckuzUG99A_2YMUXjw_10_11"/>
      <w:bookmarkStart w:id="891" w:name="Tc_es00wghFOEOTIJz0jxrviA_10_9"/>
      <w:bookmarkStart w:id="892" w:name="Tc_wdvJMqGJ0ku-9UGiz4R6uQ_10_8"/>
      <w:bookmarkStart w:id="893" w:name="Tc_BxFf3lCHN065O2uingreQA_10_5"/>
      <w:bookmarkStart w:id="894" w:name="Tc_XwdHww7b00mOCziH17DOnw_10_3"/>
      <w:bookmarkStart w:id="895" w:name="Tc_jn66Y44WGUK9Jq057uyZsQ_10_2"/>
      <w:bookmarkStart w:id="896" w:name="Tc_xVQQl5wQBEal94da1TtU2A_10_0"/>
      <w:bookmarkStart w:id="897" w:name="Tc_laWzpysbmEy3SvY4ZG-RwA_9_9"/>
      <w:bookmarkStart w:id="898" w:name="Tc_nhzJaagYZ069QZWJkzS3pQ_9_3"/>
      <w:bookmarkStart w:id="899" w:name="Tc_byQ2PWtFxEuTukLYEBwHeg_9_0"/>
      <w:bookmarkStart w:id="900" w:name="Tc_epPUAAiY_Eimfzagx01_vQ_8_9"/>
      <w:bookmarkStart w:id="901" w:name="Tc_nYZIoluFZEuLNf170PzL4Q_8_3"/>
      <w:bookmarkStart w:id="902" w:name="Tc_D06xbCuPTUqCn8kgjpAloQ_8_0"/>
      <w:bookmarkStart w:id="903" w:name="Tc_pIa7gA-hzk6V3TGBR8L-8Q_7_9"/>
      <w:bookmarkStart w:id="904" w:name="Tc_dveBwBy-9UOKm2BLlmdmRg_7_3"/>
      <w:bookmarkStart w:id="905" w:name="Tc_c0p7JxtIok-b5Yv3Bk2UQQ_7_0"/>
      <w:bookmarkStart w:id="906" w:name="Tc_gcBYDZcSdUSe86NFoHC5yw_6_11"/>
      <w:bookmarkStart w:id="907" w:name="Tc_tb947QRNokGJ3IKRc5SA7Q_6_9"/>
      <w:bookmarkStart w:id="908" w:name="Tc_hhGjkMioyU6HuP3FIw8UqA_6_8"/>
      <w:bookmarkStart w:id="909" w:name="Tc_7xFOpxcSHUCQA00ajmW5Zg_6_5"/>
      <w:bookmarkStart w:id="910" w:name="Tc_7Ss6IoAix0WVNQgSAtHU1Q_6_3"/>
      <w:bookmarkStart w:id="911" w:name="Tc_xlaRd9mEk0i1X2PBZfjqLA_6_2"/>
      <w:bookmarkStart w:id="912" w:name="Tc_yNsRvA8gn0mNm1Sz-y4WTw_6_0"/>
      <w:bookmarkStart w:id="913" w:name="Tc_5Fw_JF3P_0yjNR6EbTJTng_4_11"/>
      <w:bookmarkStart w:id="914" w:name="Tc_IBD3iZTy3UW8UfL6iJ1wsw_4_9"/>
      <w:bookmarkStart w:id="915" w:name="Tc_7qmvm2Xsa0K8czq_RKG2_Q_4_8"/>
      <w:bookmarkStart w:id="916" w:name="Tc_TD2V9nUT90-p2RpLm1MJmg_4_5"/>
      <w:bookmarkStart w:id="917" w:name="Tc_EQxd6lIZ4UCuVKElDww6Jg_4_3"/>
      <w:bookmarkStart w:id="918" w:name="Tc_X6tgGFoBGEypULxhi8P_JQ_4_2"/>
      <w:bookmarkStart w:id="919" w:name="Tc_0hiy02aTdkucOauZFmp-fQ_4_0"/>
      <w:bookmarkStart w:id="920" w:name="Tc_N051QXuVg0Gi6qU8hXHvjw_3_2"/>
      <w:bookmarkStart w:id="921" w:name="Tc_UJvgS5hfyUaCUxS7jyCO0g_2_11"/>
      <w:bookmarkStart w:id="922" w:name="Tc_-8O9-4a7Kk69R-fhjfm0pw_2_8"/>
      <w:bookmarkStart w:id="923" w:name="Tc_Xxxp2flFF0uEfvU5MTlqfA_2_5"/>
      <w:bookmarkStart w:id="924" w:name="Tc_0L0lEMD6PEaaaqPeqR9sAQ_2_2"/>
      <w:bookmarkStart w:id="925" w:name="Tc_NVYfHw0Jq0CnK0R9aQNOIQ_1_8"/>
      <w:bookmarkStart w:id="926" w:name="Tc_L6NyMso0R0iMctvHxlGbsQ_1_2"/>
      <w:bookmarkStart w:id="927" w:name="Tc_6ETSSB0UJEyJOWYuQWjR-g_10_14"/>
      <w:bookmarkStart w:id="928" w:name="Tc_JtBdVt8f50CrVdFDFXzSUg_10_12"/>
      <w:bookmarkStart w:id="929" w:name="Tc_N68xx9aMCEmsc5k7tqdKFA_10_11"/>
      <w:bookmarkStart w:id="930" w:name="Tc_W8MneKwUAEWJCNdMTQsLIA_10_8"/>
      <w:bookmarkStart w:id="931" w:name="Tc_SEgrfZw3jECALG9VTtPa_g_10_5"/>
      <w:bookmarkStart w:id="932" w:name="Tc_NUM4D4WAB0uVHsiFZWhdZg_10_2"/>
      <w:bookmarkStart w:id="933" w:name="Tc_Nekrv1p0202ioraLbX3ecw_10_0"/>
      <w:bookmarkStart w:id="934" w:name="Tc_QwI-lI1vZ0CmOWV_H_-8sw_9_12"/>
      <w:bookmarkStart w:id="935" w:name="Tc_QpOnGLjJ7kqo1BP_7aTeJw_9_0"/>
      <w:bookmarkStart w:id="936" w:name="Tc_-DWdAsvFyE-j8-t8xf26eg_8_12"/>
      <w:bookmarkStart w:id="937" w:name="Tc_Hk8WVndCnEGVON8aLJKnIA_8_0"/>
      <w:bookmarkStart w:id="938" w:name="Tc_Hd2F4AFTjk-CxqRvsj9fYw_7_12"/>
      <w:bookmarkStart w:id="939" w:name="Tc_MtSElo7T10qxUYeSSFhnHQ_7_0"/>
      <w:bookmarkStart w:id="940" w:name="Tc_BO5QZ_DmBUuoRaVNrjSEKg_6_12"/>
      <w:bookmarkStart w:id="941" w:name="Tc_1KjjDMT1cE-fk9ZJbSPK6Q_6_0"/>
      <w:bookmarkStart w:id="942" w:name="Tc_0A-j1rg1DEOq1mmZCblj9w_5_14"/>
      <w:bookmarkStart w:id="943" w:name="Tc_aVbIsPD09UCuaqtTKeftOA_5_12"/>
      <w:bookmarkStart w:id="944" w:name="Tc_r0scbPTQ90-fiv53m4VUng_5_11"/>
      <w:bookmarkStart w:id="945" w:name="Tc_p0LNBIIVKUicNFgavtu9yw_5_8"/>
      <w:bookmarkStart w:id="946" w:name="Tc_fvDa1bGU_06Qm4Ap7oYgyA_5_5"/>
      <w:bookmarkStart w:id="947" w:name="Tc_4b_Xi0cM9kOCBcuUDT0F8Q_5_2"/>
      <w:bookmarkStart w:id="948" w:name="Tc_RUFYnD9CNEGmM3QVknofkg_5_0"/>
      <w:bookmarkStart w:id="949" w:name="Tc_TEL4yc4Opk2rznQ1ClUdMw_4_0"/>
      <w:bookmarkStart w:id="950" w:name="Tc_r5lzUJcNv0urVYeuiq3dLQ_3_14"/>
      <w:bookmarkStart w:id="951" w:name="Tc_u6VdI8OueEqsVVJJGjqyJw_3_11"/>
      <w:bookmarkStart w:id="952" w:name="Tc_lVGWwmZGKUKXhDGoBHFZEQ_3_8"/>
      <w:bookmarkStart w:id="953" w:name="Tc_3q5j0vMPkEGVNHYBllsSVg_3_5"/>
      <w:bookmarkStart w:id="954" w:name="Tc_q4ukSLI-PESGMvYHBfXlnQ_3_2"/>
      <w:bookmarkStart w:id="955" w:name="Tc_1HCN6_oe9kSxFAKCms_gsQ_2_14"/>
      <w:bookmarkStart w:id="956" w:name="Tc_DwtWgwLuH0y6uNX5fF7-yw_2_11"/>
      <w:bookmarkStart w:id="957" w:name="Tc_aREHm7ncYESfvZS8QWrh0Q_2_8"/>
      <w:bookmarkStart w:id="958" w:name="Tc_WDixI8iiK0atn-vcmYLWgg_2_5"/>
      <w:bookmarkStart w:id="959" w:name="Tc_lAgHZ2-d3EKajhgOfJm2yg_2_2"/>
      <w:bookmarkStart w:id="960" w:name="Tc_RDKg4SP9702QQsHV3lI4OA_1_8"/>
      <w:bookmarkStart w:id="961" w:name="Tc_aPPrC_57XUSSxiTpkSgM7Q_1_5"/>
      <w:bookmarkStart w:id="962" w:name="_cf28bdfe_d067_47d4_a41f_74482412e3f2"/>
      <w:bookmarkStart w:id="963" w:name="Tc_uZUN4IcqwE6yV9v_0RlKFw_10_14"/>
      <w:bookmarkStart w:id="964" w:name="Tc_x6ggjhrpskmEBsi6i2tv0g_10_12"/>
      <w:bookmarkStart w:id="965" w:name="Tc_dS55EzaUc0aFz-9AP0lTLw_10_11"/>
      <w:bookmarkStart w:id="966" w:name="Tc_V_vYhGMk0Ei3AoTMENhmpg_10_8"/>
      <w:bookmarkStart w:id="967" w:name="Tc_Pq1-TGOFRUuMTuowA_kp1A_10_5"/>
      <w:bookmarkStart w:id="968" w:name="Tc_Rhf0rgBzRUidi4wjSySrTg_10_2"/>
      <w:bookmarkStart w:id="969" w:name="Tc_RODURJC7a0aiu4sowHSykQ_10_0"/>
      <w:bookmarkStart w:id="970" w:name="Tc_1BF6ycLjT0COW1jSH_y-Fw_9_12"/>
      <w:bookmarkStart w:id="971" w:name="Tc_vNBaQG7YZUect1YyKCLO_w_9_0"/>
      <w:bookmarkStart w:id="972" w:name="Tc_oWG8rsV6gUWZwjJ2qKIXcw_8_12"/>
      <w:bookmarkStart w:id="973" w:name="Tc_vvAh0GaBbUOQr8HdvWv6zQ_8_0"/>
      <w:bookmarkStart w:id="974" w:name="Tc_QGwPxCyajkGTyzti9rUkKw_7_12"/>
      <w:bookmarkStart w:id="975" w:name="Tc_0aRqOgFDpEShwSUxiPun_A_7_0"/>
      <w:bookmarkStart w:id="976" w:name="Tc_VmTb8RX1nEqX316Pi0tGNA_6_12"/>
      <w:bookmarkStart w:id="977" w:name="Tc_PYXaFhu_TEWRFdsnzYGjpg_6_0"/>
      <w:bookmarkStart w:id="978" w:name="Tc_lh0-qAJmXUmJXWuHyUPmbQ_5_14"/>
      <w:bookmarkStart w:id="979" w:name="Tc_-P1nIE4_kESZ7zXAJHJ6ig_5_12"/>
      <w:bookmarkStart w:id="980" w:name="Tc_MiaeUs1cV0qzhw62AecS-w_5_11"/>
      <w:bookmarkStart w:id="981" w:name="Tc_9sTJ7UKq0EO5DbTxrx5G0Q_5_8"/>
      <w:bookmarkStart w:id="982" w:name="Tc_7XSBfCjO1kasKsG0m4QPqg_5_5"/>
      <w:bookmarkStart w:id="983" w:name="Tc_oKxfyIPj00yEhjleJ-UfKQ_5_2"/>
      <w:bookmarkStart w:id="984" w:name="Tc_qoowZM6EM0C4iK1xX3VP-A_5_0"/>
      <w:bookmarkStart w:id="985" w:name="Tc_6OabiF5UZEChmGsUmXnm4A_4_0"/>
      <w:bookmarkStart w:id="986" w:name="Tc_oGQA0pCsJESDrKgGIAVZdA_3_14"/>
      <w:bookmarkStart w:id="987" w:name="Tc_nKQYnpT-iEOtl47Fk98g3w_3_11"/>
      <w:bookmarkStart w:id="988" w:name="Tc_Q2NcVaNeO0CjTotKNzTFVQ_3_8"/>
      <w:bookmarkStart w:id="989" w:name="Tc_d1iZMZ7HnkWv3gPYsRrSxA_3_5"/>
      <w:bookmarkStart w:id="990" w:name="Tc_QKR9qm2DbkaFdlBXJiWGPA_3_2"/>
      <w:bookmarkStart w:id="991" w:name="Tc_2PDIJtfTUkuHkvbjrTn2Bw_2_14"/>
      <w:bookmarkStart w:id="992" w:name="Tc_VSFfMfmjGUS30dQqSc4Thw_2_11"/>
      <w:bookmarkStart w:id="993" w:name="Tc_N8rf6tZoB02hZYyxniBZug_2_8"/>
      <w:bookmarkStart w:id="994" w:name="Tc_0gipsuif6U2IZOZOtHgGGA_2_5"/>
      <w:bookmarkStart w:id="995" w:name="Tc_heOGyDMXB0-b2jabG_CeMA_2_2"/>
      <w:bookmarkStart w:id="996" w:name="Tc_mnm9zVzSjEiTMf25Xt2Lcg_1_8"/>
      <w:bookmarkStart w:id="997" w:name="Tc__jMHmSe6iE2rnF4u2W8qmg_1_5"/>
      <w:bookmarkStart w:id="998" w:name="_501ee943_a053_486d_bbb0_15d9b40bd1c5"/>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Pr>
          <w:rFonts w:ascii="Times New Roman;Times;serif" w:hAnsi="Times New Roman;Times;serif"/>
          <w:b/>
          <w:sz w:val="20"/>
        </w:rPr>
        <w:t>Note 2 — Investment Securities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amortized cost and fair value of investment securities at June 30, 2026 and December 31,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21"/>
        <w:gridCol w:w="346"/>
        <w:gridCol w:w="211"/>
        <w:gridCol w:w="781"/>
        <w:gridCol w:w="346"/>
        <w:gridCol w:w="295"/>
        <w:gridCol w:w="591"/>
        <w:gridCol w:w="346"/>
        <w:gridCol w:w="211"/>
        <w:gridCol w:w="785"/>
        <w:gridCol w:w="346"/>
        <w:gridCol w:w="371"/>
        <w:gridCol w:w="610"/>
        <w:gridCol w:w="346"/>
        <w:gridCol w:w="211"/>
        <w:gridCol w:w="888"/>
      </w:tblGrid>
      <w:tr>
        <w:trPr/>
        <w:tc>
          <w:tcPr>
            <w:tcW w:w="3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235835" cy="175260"/>
                      <wp:effectExtent l="0" t="0" r="0" b="0"/>
                      <wp:wrapNone/>
                      <wp:docPr id="84" name="Frame84"/>
                      <a:graphic xmlns:a="http://schemas.openxmlformats.org/drawingml/2006/main">
                        <a:graphicData uri="http://schemas.microsoft.com/office/word/2010/wordprocessingShape">
                          <wps:wsp>
                            <wps:cNvSpPr txBox="1"/>
                            <wps:spPr>
                              <a:xfrm>
                                <a:off x="0" y="0"/>
                                <a:ext cx="2235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7"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87325" cy="175260"/>
                      <wp:effectExtent l="0" t="0" r="0" b="0"/>
                      <wp:wrapNone/>
                      <wp:docPr id="89" name="Frame8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75285" cy="175260"/>
                      <wp:effectExtent l="0" t="0" r="0" b="0"/>
                      <wp:wrapNone/>
                      <wp:docPr id="90" name="Frame90"/>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8475" cy="175260"/>
                      <wp:effectExtent l="0" t="0" r="0" b="0"/>
                      <wp:wrapNone/>
                      <wp:docPr id="93" name="Frame9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35585" cy="175260"/>
                      <wp:effectExtent l="0" t="0" r="0" b="0"/>
                      <wp:wrapNone/>
                      <wp:docPr id="95" name="Frame9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87350" cy="175260"/>
                      <wp:effectExtent l="0" t="0" r="0" b="0"/>
                      <wp:wrapNone/>
                      <wp:docPr id="96" name="Frame96"/>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63880" cy="175260"/>
                      <wp:effectExtent l="0" t="0" r="0" b="0"/>
                      <wp:wrapNone/>
                      <wp:docPr id="99" name="Frame99"/>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9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98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888" w:type="dxa"/>
            <w:tcBorders/>
            <w:vAlign w:val="center"/>
          </w:tcPr>
          <w:p>
            <w:pPr>
              <w:pStyle w:val="TableContents"/>
              <w:bidi w:val="0"/>
              <w:spacing w:before="0" w:after="1"/>
              <w:ind w:left="0" w:right="0" w:hanging="0"/>
              <w:jc w:val="center"/>
              <w:rPr/>
            </w:pPr>
            <w:r>
              <w:rPr/>
              <w:t>​</w:t>
            </w:r>
          </w:p>
        </w:tc>
      </w:tr>
      <w:tr>
        <w:trPr/>
        <w:tc>
          <w:tcPr>
            <w:tcW w:w="35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9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9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ACL </w:t>
            </w:r>
          </w:p>
        </w:tc>
        <w:tc>
          <w:tcPr>
            <w:tcW w:w="346" w:type="dxa"/>
            <w:tcBorders/>
            <w:vAlign w:val="center"/>
          </w:tcPr>
          <w:p>
            <w:pPr>
              <w:pStyle w:val="TableContents"/>
              <w:bidi w:val="0"/>
              <w:spacing w:before="0" w:after="1"/>
              <w:ind w:left="0" w:right="0" w:hanging="0"/>
              <w:jc w:val="center"/>
              <w:rPr/>
            </w:pPr>
            <w:r>
              <w:rPr/>
              <w:t>​</w:t>
            </w:r>
          </w:p>
        </w:tc>
        <w:tc>
          <w:tcPr>
            <w:tcW w:w="10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5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center"/>
              <w:rPr/>
            </w:pPr>
            <w:r>
              <w:rPr/>
              <w:t>​</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center"/>
              <w:rPr/>
            </w:pPr>
            <w:r>
              <w:rPr/>
              <w:t>​</w:t>
            </w:r>
          </w:p>
        </w:tc>
        <w:tc>
          <w:tcPr>
            <w:tcW w:w="9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Adjustment </w:t>
            </w:r>
          </w:p>
        </w:tc>
        <w:tc>
          <w:tcPr>
            <w:tcW w:w="346" w:type="dxa"/>
            <w:tcBorders/>
            <w:vAlign w:val="center"/>
          </w:tcPr>
          <w:p>
            <w:pPr>
              <w:pStyle w:val="TableContents"/>
              <w:bidi w:val="0"/>
              <w:spacing w:before="0" w:after="1"/>
              <w:ind w:left="0" w:right="0" w:hanging="0"/>
              <w:jc w:val="center"/>
              <w:rPr/>
            </w:pPr>
            <w:r>
              <w:rPr/>
              <w:t>​</w:t>
            </w:r>
          </w:p>
        </w:tc>
        <w:tc>
          <w:tcPr>
            <w:tcW w:w="10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June 30, 2026</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95" w:type="dxa"/>
            <w:tcBorders/>
            <w:shd w:fill="CCEEFF" w:val="clear"/>
            <w:vAlign w:val="center"/>
          </w:tcPr>
          <w:p>
            <w:pPr>
              <w:pStyle w:val="TableContents"/>
              <w:bidi w:val="0"/>
              <w:spacing w:before="0" w:after="1"/>
              <w:ind w:left="0" w:right="0" w:hanging="0"/>
              <w:jc w:val="center"/>
              <w:rPr/>
            </w:pPr>
            <w:r>
              <w:rPr/>
              <w:t>​</w:t>
            </w:r>
          </w:p>
        </w:tc>
        <w:tc>
          <w:tcPr>
            <w:tcW w:w="59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371" w:type="dxa"/>
            <w:tcBorders/>
            <w:shd w:fill="CCEEFF" w:val="clear"/>
            <w:vAlign w:val="center"/>
          </w:tcPr>
          <w:p>
            <w:pPr>
              <w:pStyle w:val="TableContents"/>
              <w:bidi w:val="0"/>
              <w:spacing w:before="0" w:after="1"/>
              <w:ind w:left="0" w:right="0" w:hanging="0"/>
              <w:jc w:val="center"/>
              <w:rPr/>
            </w:pPr>
            <w:r>
              <w:rPr/>
              <w:t>​</w:t>
            </w:r>
          </w:p>
        </w:tc>
        <w:tc>
          <w:tcPr>
            <w:tcW w:w="610"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88" w:type="dxa"/>
            <w:tcBorders/>
            <w:shd w:fill="CCEEFF" w:val="clear"/>
            <w:vAlign w:val="center"/>
          </w:tcPr>
          <w:p>
            <w:pPr>
              <w:pStyle w:val="TableContents"/>
              <w:bidi w:val="0"/>
              <w:spacing w:before="0" w:after="1"/>
              <w:ind w:left="0" w:right="0" w:hanging="0"/>
              <w:jc w:val="center"/>
              <w:rPr/>
            </w:pPr>
            <w:r>
              <w:rPr/>
              <w:t>​</w:t>
            </w:r>
          </w:p>
        </w:tc>
      </w:tr>
      <w:tr>
        <w:trPr/>
        <w:tc>
          <w:tcPr>
            <w:tcW w:w="3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government agencies and treasuries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63,915</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57,513</w:t>
            </w:r>
          </w:p>
        </w:tc>
      </w:tr>
      <w:tr>
        <w:trPr/>
        <w:tc>
          <w:tcPr>
            <w:tcW w:w="3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Mortgage-backed securities - residential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195,694</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(22,447)</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 </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173,317</w:t>
            </w:r>
          </w:p>
        </w:tc>
      </w:tr>
      <w:tr>
        <w:trPr/>
        <w:tc>
          <w:tcPr>
            <w:tcW w:w="3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Mortgage-backed securities - commercial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76,685</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(15,625)</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61,063</w:t>
            </w:r>
          </w:p>
        </w:tc>
      </w:tr>
      <w:tr>
        <w:trPr/>
        <w:tc>
          <w:tcPr>
            <w:tcW w:w="3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23,500</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 </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22,240</w:t>
            </w:r>
          </w:p>
        </w:tc>
      </w:tr>
      <w:tr>
        <w:trPr/>
        <w:tc>
          <w:tcPr>
            <w:tcW w:w="35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Obligations of states and political subdivisions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91,140</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(9,392)</w:t>
            </w:r>
          </w:p>
        </w:tc>
        <w:tc>
          <w:tcPr>
            <w:tcW w:w="346" w:type="dxa"/>
            <w:tcBorders/>
            <w:vAlign w:val="center"/>
          </w:tcPr>
          <w:p>
            <w:pPr>
              <w:pStyle w:val="TableContents"/>
              <w:bidi w:val="0"/>
              <w:spacing w:before="0" w:after="1"/>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81,773</w:t>
            </w:r>
          </w:p>
        </w:tc>
      </w:tr>
      <w:tr>
        <w:trPr/>
        <w:tc>
          <w:tcPr>
            <w:tcW w:w="35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450,934</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(55,287)</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395,906</w:t>
            </w:r>
          </w:p>
        </w:tc>
      </w:tr>
    </w:tbl>
    <w:p>
      <w:pPr>
        <w:pStyle w:val="TextBody"/>
        <w:bidi w:val="0"/>
        <w:spacing w:before="0" w:after="24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22"/>
        <w:gridCol w:w="346"/>
        <w:gridCol w:w="211"/>
        <w:gridCol w:w="781"/>
        <w:gridCol w:w="346"/>
        <w:gridCol w:w="295"/>
        <w:gridCol w:w="591"/>
        <w:gridCol w:w="346"/>
        <w:gridCol w:w="211"/>
        <w:gridCol w:w="784"/>
        <w:gridCol w:w="346"/>
        <w:gridCol w:w="371"/>
        <w:gridCol w:w="609"/>
        <w:gridCol w:w="346"/>
        <w:gridCol w:w="211"/>
        <w:gridCol w:w="889"/>
      </w:tblGrid>
      <w:tr>
        <w:trPr/>
        <w:tc>
          <w:tcPr>
            <w:tcW w:w="3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236470" cy="175260"/>
                      <wp:effectExtent l="0" t="0" r="0" b="0"/>
                      <wp:wrapNone/>
                      <wp:docPr id="100" name="Frame100"/>
                      <a:graphic xmlns:a="http://schemas.openxmlformats.org/drawingml/2006/main">
                        <a:graphicData uri="http://schemas.microsoft.com/office/word/2010/wordprocessingShape">
                          <wps:wsp>
                            <wps:cNvSpPr txBox="1"/>
                            <wps:spPr>
                              <a:xfrm>
                                <a:off x="0" y="0"/>
                                <a:ext cx="2236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935" cy="175260"/>
                      <wp:effectExtent l="0" t="0" r="0" b="0"/>
                      <wp:wrapNone/>
                      <wp:docPr id="103" name="Frame1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7325" cy="175260"/>
                      <wp:effectExtent l="0" t="0" r="0" b="0"/>
                      <wp:wrapNone/>
                      <wp:docPr id="105" name="Frame10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75285" cy="175260"/>
                      <wp:effectExtent l="0" t="0" r="0" b="0"/>
                      <wp:wrapNone/>
                      <wp:docPr id="106" name="Frame106"/>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7840" cy="175260"/>
                      <wp:effectExtent l="0" t="0" r="0" b="0"/>
                      <wp:wrapNone/>
                      <wp:docPr id="109" name="Frame109"/>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5585" cy="175260"/>
                      <wp:effectExtent l="0" t="0" r="0" b="0"/>
                      <wp:wrapNone/>
                      <wp:docPr id="111" name="Frame11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86715" cy="175260"/>
                      <wp:effectExtent l="0" t="0" r="0" b="0"/>
                      <wp:wrapNone/>
                      <wp:docPr id="112" name="Frame112"/>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64515" cy="175260"/>
                      <wp:effectExtent l="0" t="0" r="0" b="0"/>
                      <wp:wrapNone/>
                      <wp:docPr id="115" name="Frame115"/>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98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pPr>
            <w:r>
              <w:rPr/>
              <w:t> </w:t>
            </w:r>
          </w:p>
        </w:tc>
      </w:tr>
      <w:tr>
        <w:trPr/>
        <w:tc>
          <w:tcPr>
            <w:tcW w:w="35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9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9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ACL</w:t>
            </w:r>
          </w:p>
        </w:tc>
        <w:tc>
          <w:tcPr>
            <w:tcW w:w="346" w:type="dxa"/>
            <w:tcBorders/>
            <w:vAlign w:val="center"/>
          </w:tcPr>
          <w:p>
            <w:pPr>
              <w:pStyle w:val="TableContents"/>
              <w:bidi w:val="0"/>
              <w:spacing w:before="0" w:after="0"/>
              <w:ind w:left="0" w:right="0" w:hanging="0"/>
              <w:jc w:val="center"/>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5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Adjustment </w:t>
            </w:r>
          </w:p>
        </w:tc>
        <w:tc>
          <w:tcPr>
            <w:tcW w:w="346" w:type="dxa"/>
            <w:tcBorders/>
            <w:vAlign w:val="center"/>
          </w:tcPr>
          <w:p>
            <w:pPr>
              <w:pStyle w:val="TableContents"/>
              <w:bidi w:val="0"/>
              <w:spacing w:before="0" w:after="0"/>
              <w:ind w:left="0" w:right="0" w:hanging="0"/>
              <w:jc w:val="center"/>
              <w:rPr/>
            </w:pPr>
            <w:r>
              <w:rPr/>
              <w:t>​</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December 31, 2025</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95" w:type="dxa"/>
            <w:tcBorders/>
            <w:shd w:fill="CCEEFF" w:val="clear"/>
            <w:vAlign w:val="center"/>
          </w:tcPr>
          <w:p>
            <w:pPr>
              <w:pStyle w:val="TableContents"/>
              <w:bidi w:val="0"/>
              <w:spacing w:before="0" w:after="0"/>
              <w:ind w:left="0" w:right="0" w:hanging="0"/>
              <w:jc w:val="center"/>
              <w:rPr/>
            </w:pPr>
            <w:r>
              <w:rPr/>
              <w:t>​</w:t>
            </w:r>
          </w:p>
        </w:tc>
        <w:tc>
          <w:tcPr>
            <w:tcW w:w="59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center"/>
              <w:rPr/>
            </w:pPr>
            <w:r>
              <w:rPr/>
              <w:t>​</w:t>
            </w:r>
          </w:p>
        </w:tc>
        <w:tc>
          <w:tcPr>
            <w:tcW w:w="60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89" w:type="dxa"/>
            <w:tcBorders/>
            <w:shd w:fill="CCEEFF" w:val="clear"/>
            <w:vAlign w:val="center"/>
          </w:tcPr>
          <w:p>
            <w:pPr>
              <w:pStyle w:val="TableContents"/>
              <w:bidi w:val="0"/>
              <w:spacing w:before="0" w:after="0"/>
              <w:ind w:left="0" w:right="0" w:hanging="0"/>
              <w:jc w:val="center"/>
              <w:rPr/>
            </w:pPr>
            <w:r>
              <w:rPr/>
              <w:t>​</w:t>
            </w:r>
          </w:p>
        </w:tc>
      </w:tr>
      <w:tr>
        <w:trPr/>
        <w:tc>
          <w:tcPr>
            <w:tcW w:w="3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agencies and treasuries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67,611</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(6,097)</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61,570</w:t>
            </w:r>
          </w:p>
        </w:tc>
      </w:tr>
      <w:tr>
        <w:trPr/>
        <w:tc>
          <w:tcPr>
            <w:tcW w:w="3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Mortgage-backed securities - residential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208,761</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(20,595)</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c>
          <w:tcPr>
            <w:tcW w:w="6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188,319</w:t>
            </w:r>
          </w:p>
        </w:tc>
      </w:tr>
      <w:tr>
        <w:trPr/>
        <w:tc>
          <w:tcPr>
            <w:tcW w:w="3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Mortgage-backed securities - commercial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78,367</w:t>
            </w:r>
          </w:p>
        </w:tc>
        <w:tc>
          <w:tcPr>
            <w:tcW w:w="34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(14,931)</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6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63,506</w:t>
            </w:r>
          </w:p>
        </w:tc>
      </w:tr>
      <w:tr>
        <w:trPr/>
        <w:tc>
          <w:tcPr>
            <w:tcW w:w="3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25,001</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c>
          <w:tcPr>
            <w:tcW w:w="6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23,276</w:t>
            </w:r>
          </w:p>
        </w:tc>
      </w:tr>
      <w:tr>
        <w:trPr/>
        <w:tc>
          <w:tcPr>
            <w:tcW w:w="35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Obligations of states and political subdivisions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92,357</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(9,666)</w:t>
            </w:r>
          </w:p>
        </w:tc>
        <w:tc>
          <w:tcPr>
            <w:tcW w:w="346"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82,735</w:t>
            </w:r>
          </w:p>
        </w:tc>
      </w:tr>
      <w:tr>
        <w:trPr/>
        <w:tc>
          <w:tcPr>
            <w:tcW w:w="3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472,097</w:t>
            </w:r>
          </w:p>
        </w:tc>
        <w:tc>
          <w:tcPr>
            <w:tcW w:w="346" w:type="dxa"/>
            <w:tcBorders/>
            <w:shd w:fill="CCEEFF" w:val="clear"/>
            <w:vAlign w:val="center"/>
          </w:tcPr>
          <w:p>
            <w:pPr>
              <w:pStyle w:val="TableContents"/>
              <w:bidi w:val="0"/>
              <w:spacing w:before="0" w:after="0"/>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(53,074)</w:t>
            </w:r>
          </w:p>
        </w:tc>
        <w:tc>
          <w:tcPr>
            <w:tcW w:w="346" w:type="dxa"/>
            <w:tcBorders/>
            <w:shd w:fill="CCEEFF" w:val="clear"/>
            <w:vAlign w:val="center"/>
          </w:tcPr>
          <w:p>
            <w:pPr>
              <w:pStyle w:val="TableContents"/>
              <w:bidi w:val="0"/>
              <w:spacing w:before="0" w:after="0"/>
              <w:ind w:left="0" w:right="0" w:hanging="0"/>
              <w:jc w:val="left"/>
              <w:rPr/>
            </w:pPr>
            <w:r>
              <w:rPr/>
              <w:t> </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419,406</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sales of securities for the three or six months ended June 30, 2026. During three and six months ended June 30, 2025, the Company sold available for sale securities. The following table summarizes proceeds from sales of securities and associated gains and losses for the three and six months ended June 30, 2026 and 2025:</w:t>
      </w:r>
    </w:p>
    <w:p>
      <w:pPr>
        <w:pStyle w:val="TextBody"/>
        <w:bidi w:val="0"/>
        <w:spacing w:before="0" w:after="0"/>
        <w:ind w:left="0" w:right="0" w:hanging="0"/>
        <w:jc w:val="left"/>
        <w:rPr/>
      </w:pPr>
      <w:r>
        <w:rPr/>
        <w:t>​</w:t>
      </w:r>
    </w:p>
    <w:tbl>
      <w:tblPr>
        <w:tblW w:w="8835" w:type="dxa"/>
        <w:jc w:val="left"/>
        <w:tblInd w:w="0" w:type="dxa"/>
        <w:tblLayout w:type="fixed"/>
        <w:tblCellMar>
          <w:top w:w="0" w:type="dxa"/>
          <w:left w:w="0" w:type="dxa"/>
          <w:bottom w:w="0" w:type="dxa"/>
          <w:right w:w="0" w:type="dxa"/>
        </w:tblCellMar>
      </w:tblPr>
      <w:tblGrid>
        <w:gridCol w:w="3766"/>
        <w:gridCol w:w="346"/>
        <w:gridCol w:w="266"/>
        <w:gridCol w:w="437"/>
        <w:gridCol w:w="437"/>
        <w:gridCol w:w="266"/>
        <w:gridCol w:w="858"/>
        <w:gridCol w:w="346"/>
        <w:gridCol w:w="243"/>
        <w:gridCol w:w="398"/>
        <w:gridCol w:w="398"/>
        <w:gridCol w:w="243"/>
        <w:gridCol w:w="83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391410" cy="175260"/>
                      <wp:effectExtent l="0" t="0" r="0" b="0"/>
                      <wp:wrapNone/>
                      <wp:docPr id="116" name="Frame116"/>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68910" cy="175260"/>
                      <wp:effectExtent l="0" t="0" r="0" b="0"/>
                      <wp:wrapNone/>
                      <wp:docPr id="118" name="Frame11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77495" cy="175260"/>
                      <wp:effectExtent l="0" t="0" r="0" b="0"/>
                      <wp:wrapNone/>
                      <wp:docPr id="119" name="Frame119"/>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77495" cy="175260"/>
                      <wp:effectExtent l="0" t="0" r="0" b="0"/>
                      <wp:wrapNone/>
                      <wp:docPr id="120" name="Frame12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8910" cy="175260"/>
                      <wp:effectExtent l="0" t="0" r="0" b="0"/>
                      <wp:wrapNone/>
                      <wp:docPr id="121" name="Frame12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44830" cy="175260"/>
                      <wp:effectExtent l="0" t="0" r="0" b="0"/>
                      <wp:wrapNone/>
                      <wp:docPr id="122" name="Frame122"/>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4305" cy="175260"/>
                      <wp:effectExtent l="0" t="0" r="0" b="0"/>
                      <wp:wrapNone/>
                      <wp:docPr id="124" name="Frame12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52730" cy="175260"/>
                      <wp:effectExtent l="0" t="0" r="0" b="0"/>
                      <wp:wrapNone/>
                      <wp:docPr id="125" name="Frame125"/>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52730" cy="175260"/>
                      <wp:effectExtent l="0" t="0" r="0" b="0"/>
                      <wp:wrapNone/>
                      <wp:docPr id="126" name="Frame126"/>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4305" cy="175260"/>
                      <wp:effectExtent l="0" t="0" r="0" b="0"/>
                      <wp:wrapNone/>
                      <wp:docPr id="127" name="Frame12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27685" cy="175260"/>
                      <wp:effectExtent l="0" t="0" r="0" b="0"/>
                      <wp:wrapNone/>
                      <wp:docPr id="128" name="Frame128"/>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2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1"/>
              <w:ind w:left="0" w:right="0" w:hanging="0"/>
              <w:jc w:val="left"/>
              <w:rPr/>
            </w:pPr>
            <w:r>
              <w:rPr/>
              <w:t>  ​ ​ ​</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7" w:type="dxa"/>
            <w:tcBorders/>
            <w:vAlign w:val="center"/>
          </w:tcPr>
          <w:p>
            <w:pPr>
              <w:pStyle w:val="TableContents"/>
              <w:bidi w:val="0"/>
              <w:spacing w:before="0" w:after="1"/>
              <w:ind w:left="0" w:right="0" w:hanging="0"/>
              <w:jc w:val="left"/>
              <w:rPr/>
            </w:pPr>
            <w:r>
              <w:rPr/>
              <w:t>  ​ ​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6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8" w:type="dxa"/>
            <w:tcBorders/>
            <w:vAlign w:val="center"/>
          </w:tcPr>
          <w:p>
            <w:pPr>
              <w:pStyle w:val="TableContents"/>
              <w:bidi w:val="0"/>
              <w:spacing w:before="0" w:after="1"/>
              <w:ind w:left="0" w:right="0" w:hanging="0"/>
              <w:jc w:val="left"/>
              <w:rPr/>
            </w:pPr>
            <w:r>
              <w:rPr/>
              <w:t>  ​ ​ ​</w:t>
            </w:r>
          </w:p>
        </w:tc>
        <w:tc>
          <w:tcPr>
            <w:tcW w:w="10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83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23"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7"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13,688</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13,688</w:t>
            </w:r>
          </w:p>
        </w:tc>
      </w:tr>
      <w:tr>
        <w:trPr/>
        <w:tc>
          <w:tcPr>
            <w:tcW w:w="3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realized gains</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shd w:fill="CCEEFF" w:val="clear"/>
            <w:vAlign w:val="center"/>
          </w:tcPr>
          <w:p>
            <w:pPr>
              <w:pStyle w:val="TableContents"/>
              <w:bidi w:val="0"/>
              <w:spacing w:before="0" w:after="1"/>
              <w:ind w:left="0" w:right="0" w:hanging="0"/>
              <w:jc w:val="right"/>
              <w:rPr/>
            </w:pPr>
            <w:r>
              <w:rPr/>
              <w:t>—</w:t>
            </w:r>
          </w:p>
        </w:tc>
        <w:tc>
          <w:tcPr>
            <w:tcW w:w="437"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8" w:type="dxa"/>
            <w:tcBorders/>
            <w:shd w:fill="CCEEFF" w:val="cle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realized losses</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37"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8"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gain/(loss) on sales of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437" w:type="dxa"/>
            <w:tcBorders/>
            <w:shd w:fill="CCEEFF" w:val="clear"/>
            <w:vAlign w:val="center"/>
          </w:tcPr>
          <w:p>
            <w:pPr>
              <w:pStyle w:val="TableContents"/>
              <w:bidi w:val="0"/>
              <w:spacing w:before="0" w:after="1"/>
              <w:ind w:left="0" w:right="0" w:hanging="0"/>
              <w:jc w:val="right"/>
              <w:rPr/>
            </w:pPr>
            <w:r>
              <w:rPr/>
              <w:t>—</w:t>
            </w:r>
          </w:p>
        </w:tc>
        <w:tc>
          <w:tcPr>
            <w:tcW w:w="437"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398" w:type="dxa"/>
            <w:tcBorders/>
            <w:shd w:fill="CCEEFF" w:val="cle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provision on realized net gains and loss</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37"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8"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gain/(loss) on sales of securities, after tax</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7"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amortized cost and fair value of debt securities as of June 30, 2026 are shown below by contractual maturity. Expected maturities may differ from contractual maturities because borrowers may have the right to call or prepay obligations with or without call or prepayment penalties.</w:t>
      </w:r>
    </w:p>
    <w:p>
      <w:pPr>
        <w:pStyle w:val="TextBody"/>
        <w:bidi w:val="0"/>
        <w:spacing w:before="0" w:after="0"/>
        <w:ind w:left="0" w:right="0" w:hanging="0"/>
        <w:jc w:val="both"/>
        <w:rPr/>
      </w:pPr>
      <w:r>
        <w:rPr/>
        <w:t>​</w:t>
      </w:r>
    </w:p>
    <w:tbl>
      <w:tblPr>
        <w:tblW w:w="4750" w:type="dxa"/>
        <w:jc w:val="left"/>
        <w:tblInd w:w="0" w:type="dxa"/>
        <w:tblLayout w:type="fixed"/>
        <w:tblCellMar>
          <w:top w:w="0" w:type="dxa"/>
          <w:left w:w="0" w:type="dxa"/>
          <w:bottom w:w="0" w:type="dxa"/>
          <w:right w:w="0" w:type="dxa"/>
        </w:tblCellMar>
      </w:tblPr>
      <w:tblGrid>
        <w:gridCol w:w="2416"/>
        <w:gridCol w:w="346"/>
        <w:gridCol w:w="196"/>
        <w:gridCol w:w="691"/>
        <w:gridCol w:w="109"/>
        <w:gridCol w:w="196"/>
        <w:gridCol w:w="79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34160" cy="175260"/>
                      <wp:effectExtent l="0" t="0" r="0" b="0"/>
                      <wp:wrapNone/>
                      <wp:docPr id="129" name="Frame129"/>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4460" cy="175260"/>
                      <wp:effectExtent l="0" t="0" r="0" b="0"/>
                      <wp:wrapNone/>
                      <wp:docPr id="131" name="Frame1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38785" cy="175260"/>
                      <wp:effectExtent l="0" t="0" r="0" b="0"/>
                      <wp:wrapNone/>
                      <wp:docPr id="132" name="Frame1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4460" cy="175260"/>
                      <wp:effectExtent l="0" t="0" r="0" b="0"/>
                      <wp:wrapNone/>
                      <wp:docPr id="134"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05460" cy="175260"/>
                      <wp:effectExtent l="0" t="0" r="0" b="0"/>
                      <wp:wrapNone/>
                      <wp:docPr id="135" name="Frame1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Available-for-sale</w: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75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8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in one year or less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7,476</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after one through five years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21,106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19,248</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after five through ten years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69,260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63,126</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Due after ten years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80,658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71,676</w:t>
            </w:r>
          </w:p>
        </w:tc>
      </w:tr>
      <w:tr>
        <w:trPr/>
        <w:tc>
          <w:tcPr>
            <w:tcW w:w="24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178,555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161,526</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Mortgage-backed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272,379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234,380</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450,934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395,906</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999" w:name="_04e7d8a2_ddef_4bdc_875a_56bcc9318201_3"/>
      <w:bookmarkStart w:id="1000" w:name="_04e7d8a2_ddef_4bdc_875a_56bcc9318201_2"/>
      <w:bookmarkStart w:id="1001" w:name="_04e7d8a2_ddef_4bdc_875a_56bcc9318201"/>
      <w:bookmarkStart w:id="1002" w:name="Tc_OoJnHjdOK0q6hKUx1SBpmg_10_17"/>
      <w:bookmarkStart w:id="1003" w:name="Tc_HK-we-h4BEWVaLbbmp552w_10_14"/>
      <w:bookmarkStart w:id="1004" w:name="Tc_qGdOD0eQi02xM5JjRaKjYg_10_11"/>
      <w:bookmarkStart w:id="1005" w:name="Tc_9P19thjIaE22XEqVzuo41w_10_8"/>
      <w:bookmarkStart w:id="1006" w:name="Tc_nTCTNCJrD0qw9ijg2K_pVA_10_5"/>
      <w:bookmarkStart w:id="1007" w:name="Tc_lhPZoxIljEOTHciqC5Matg_10_2"/>
      <w:bookmarkStart w:id="1008" w:name="Tc_1RqMFJH8MU-ggysPlERI7Q_10_0"/>
      <w:bookmarkStart w:id="1009" w:name="Tc_oLOXLSflw0OBA2t3D5drKA_9_0"/>
      <w:bookmarkStart w:id="1010" w:name="Tc_kPWQszPlvUCMvNxGBBSalw_8_0"/>
      <w:bookmarkStart w:id="1011" w:name="Tc_VlglKcoaoEasgBGeKB1vGg_7_6"/>
      <w:bookmarkStart w:id="1012" w:name="Tc_h_tCH5ZdZ0WY7YjUYccRHw_7_3"/>
      <w:bookmarkStart w:id="1013" w:name="Tc_rAMfbiXdA06gXDCXiZZuBQ_7_0"/>
      <w:bookmarkStart w:id="1014" w:name="Tc_NYlF6bKzY0aL2lNuZnDtTQ_6_6"/>
      <w:bookmarkStart w:id="1015" w:name="Tc__SyEnSVrjEC-MPcrZAEROQ_6_3"/>
      <w:bookmarkStart w:id="1016" w:name="Tc_rLLZH27ylUKNrZB-IGxmZA_6_0"/>
      <w:bookmarkStart w:id="1017" w:name="Tc_cwwEiDoOv0OwIR_DHa3Tww_5_17"/>
      <w:bookmarkStart w:id="1018" w:name="Tc_7dl4wdnyg0-iVn7_WmBVlQ_5_14"/>
      <w:bookmarkStart w:id="1019" w:name="Tc_a1DygoNYikm_ozJ42i4I3A_5_11"/>
      <w:bookmarkStart w:id="1020" w:name="Tc_aOGpIxZD6Eu5MMxAdpQMSQ_5_8"/>
      <w:bookmarkStart w:id="1021" w:name="Tc_COcr4WbcsU-dBKkiHUk8fQ_5_5"/>
      <w:bookmarkStart w:id="1022" w:name="Tc_mHPzHRX7AUSFBDW3y4_HWA_5_2"/>
      <w:bookmarkStart w:id="1023" w:name="Tc_hXqJBIwu-Em2XyzCh4kT1g_5_0"/>
      <w:bookmarkStart w:id="1024" w:name="Tc_TuZBzT8W_kCkIyQn1imaRg_4_0"/>
      <w:bookmarkStart w:id="1025" w:name="Tc_Ze0uTu6F7UOj_r7udlzNsA_3_17"/>
      <w:bookmarkStart w:id="1026" w:name="Tc_ULOJg0wAEEyoNX_Wgpi3yg_3_14"/>
      <w:bookmarkStart w:id="1027" w:name="Tc_xhOZpqXTcUahgwWucUjtUw_3_11"/>
      <w:bookmarkStart w:id="1028" w:name="Tc_MsAdQf__v0uO5vix8XBkcg_3_8"/>
      <w:bookmarkStart w:id="1029" w:name="Tc_ghvnV3y8d065TC-ldSMmIg_3_5"/>
      <w:bookmarkStart w:id="1030" w:name="Tc_mBBTJzTiLk-z7Q6AHuQ6LA_3_2"/>
      <w:bookmarkStart w:id="1031" w:name="Tc_ErLkBMQmY0iM2FmBZF0t8g_2_17"/>
      <w:bookmarkStart w:id="1032" w:name="Tc_4CAZmHonfEaxLQnNfzv5RQ_2_14"/>
      <w:bookmarkStart w:id="1033" w:name="Tc_0Mhkhqn4eUqR-B3V2bY5ug_2_11"/>
      <w:bookmarkStart w:id="1034" w:name="Tc_vf9ojleZE06YLIERTSqvFg_2_8"/>
      <w:bookmarkStart w:id="1035" w:name="Tc_g8yx36bB6kKw3SODDLquEw_2_5"/>
      <w:bookmarkStart w:id="1036" w:name="Tc_FxhRf_r_Ok6ZdbC8Vtp60g_2_2"/>
      <w:bookmarkStart w:id="1037" w:name="Tc_yAhwoSJcG02GJSOEP_RVZg_1_14"/>
      <w:bookmarkStart w:id="1038" w:name="Tc_PilN4-eZ90epGTjJMvGCqw_1_8"/>
      <w:bookmarkStart w:id="1039" w:name="Tc_E0VwOhlW60mFoXEjJ7yeGg_1_2"/>
      <w:bookmarkStart w:id="1040" w:name="_440cfc75_ac0a_4410_ba9b_3523eb635bcf"/>
      <w:bookmarkStart w:id="1041" w:name="Tc_nGP7GF4Op0GCK3Huz-21AA_10_17"/>
      <w:bookmarkStart w:id="1042" w:name="Tc_exJry5_JTE2QS2w6uuWZRA_10_14"/>
      <w:bookmarkStart w:id="1043" w:name="Tc_B4OYCkANMUezD3NiyqgTdQ_10_11"/>
      <w:bookmarkStart w:id="1044" w:name="Tc_9Ul7RUSHCES-sOZ-1oWuHw_10_8"/>
      <w:bookmarkStart w:id="1045" w:name="Tc_sSCl8PxwAE-SkqnS_mI4vg_10_5"/>
      <w:bookmarkStart w:id="1046" w:name="Tc_6JXKhF7gXEC2-J2_O9z9sg_10_2"/>
      <w:bookmarkStart w:id="1047" w:name="Tc_BrwmZDJxCkGg2zSk-PIOFQ_10_0"/>
      <w:bookmarkStart w:id="1048" w:name="Tc_PYuVxDYTAUejNyChyLKBqA_9_0"/>
      <w:bookmarkStart w:id="1049" w:name="Tc_4UerLPDLsU-X3kOH3WwnuQ_8_6"/>
      <w:bookmarkStart w:id="1050" w:name="Tc_v9949EoTJEqPd-IHYyUl7w_8_3"/>
      <w:bookmarkStart w:id="1051" w:name="Tc_hXXCqgDhJU6SFm2dquRwyg_8_0"/>
      <w:bookmarkStart w:id="1052" w:name="Tc_rbHa1DXcrE6IuY6m5C_3JQ_7_0"/>
      <w:bookmarkStart w:id="1053" w:name="Tc_M1mFV48mdk6MbdoCFTXGVQ_6_0"/>
      <w:bookmarkStart w:id="1054" w:name="Tc_edlcX6WKYk-4crg2YP3McQ_5_17"/>
      <w:bookmarkStart w:id="1055" w:name="Tc_EJitKBSdokivdgwVCKYT-g_5_14"/>
      <w:bookmarkStart w:id="1056" w:name="Tc_eGdlMul5UEy-PGx03kHO_g_5_11"/>
      <w:bookmarkStart w:id="1057" w:name="Tc_oKupVA6LYku_tyyBWCXyqg_5_8"/>
      <w:bookmarkStart w:id="1058" w:name="Tc_8ONu-u1jt0208_HhVaLSHQ_5_6"/>
      <w:bookmarkStart w:id="1059" w:name="Tc_yB3ZGoET50SkjkaiuW473Q_5_5"/>
      <w:bookmarkStart w:id="1060" w:name="Tc_oBHHSqmiC0-zdaLHmIUo7A_5_3"/>
      <w:bookmarkStart w:id="1061" w:name="Tc_rZ8FM7_c_EalcAj2Vz6RZA_5_2"/>
      <w:bookmarkStart w:id="1062" w:name="Tc_5fwvzgZh3UG_rC1d0NHiEg_5_0"/>
      <w:bookmarkStart w:id="1063" w:name="Tc_Pvq09OvqJ0uUS_WoXNpLTQ_4_0"/>
      <w:bookmarkStart w:id="1064" w:name="Tc_wpQbYdjOQkuPaf1uXHHebQ_3_17"/>
      <w:bookmarkStart w:id="1065" w:name="Tc_wvm0JZwkikuPjVy9YTdFZw_3_14"/>
      <w:bookmarkStart w:id="1066" w:name="Tc_Y8GtxTwIXUG90GYSZ4pHTg_3_11"/>
      <w:bookmarkStart w:id="1067" w:name="Tc_4Q-jn5lHykONDPVbc8FMLA_3_8"/>
      <w:bookmarkStart w:id="1068" w:name="Tc_g6FgI0WiwUqXPsZDFo9lmQ_3_5"/>
      <w:bookmarkStart w:id="1069" w:name="Tc_uwck3wywx06jO3ITR-fH1Q_3_2"/>
      <w:bookmarkStart w:id="1070" w:name="Tc_nc3c2mpWMku0B1RdR19QYA_2_17"/>
      <w:bookmarkStart w:id="1071" w:name="Tc_uR4zjnr_NU2PsqoJjCOAIA_2_14"/>
      <w:bookmarkStart w:id="1072" w:name="Tc_9jvneZOVg0mlzNRmRTQwqA_2_11"/>
      <w:bookmarkStart w:id="1073" w:name="Tc_r6ythVsjJUm0NmTidOzLeg_2_8"/>
      <w:bookmarkStart w:id="1074" w:name="Tc_TZbFMLEd80WJVLyhBXPafg_2_5"/>
      <w:bookmarkStart w:id="1075" w:name="Tc_15SDdnXaF0-9Cp16NzPqLA_2_2"/>
      <w:bookmarkStart w:id="1076" w:name="Tc_2gR1WKwRtUmMT1PKetuLwQ_1_14"/>
      <w:bookmarkStart w:id="1077" w:name="Tc_BQWTfXGup06HaNEwBmqyhw_1_8"/>
      <w:bookmarkStart w:id="1078" w:name="Tc_ef7qkCU99kuZQKvpAUoTYA_1_2"/>
      <w:bookmarkStart w:id="1079" w:name="_3b7ef363_8953_45d3_b4a6_3ba936c193eb"/>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r>
        <w:rPr>
          <w:rFonts w:ascii="Times New Roman;Times;serif" w:hAnsi="Times New Roman;Times;serif"/>
          <w:sz w:val="20"/>
        </w:rPr>
        <w:t>Securities pledged at June 30, 2026 and December 31, 2025 had a carrying amount of $287.8 million and $261.1 million and were pledged to secure public deposits.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June 30, 2026 and December 31, 2025, there were no holdings of securities of any one issuer, other than the US Government and its agencies, in an amount greater than 10% of stockholders’ equity.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summarize those securities with unrealized losses for which an allowance for credit losses has not been recorded at June 30, 2026 and December 31, 2025, aggregated by major security types and length of time in a continuous unrealized loss position (in thousands):</w:t>
      </w:r>
    </w:p>
    <w:p>
      <w:pPr>
        <w:pStyle w:val="TextBody"/>
        <w:bidi w:val="0"/>
        <w:spacing w:before="0" w:after="0"/>
        <w:ind w:left="0" w:right="0" w:hanging="0"/>
        <w:jc w:val="left"/>
        <w:rPr/>
      </w:pPr>
      <w:r>
        <w:rPr/>
        <w:t>​</w:t>
      </w:r>
    </w:p>
    <w:tbl>
      <w:tblPr>
        <w:tblW w:w="9411" w:type="dxa"/>
        <w:jc w:val="left"/>
        <w:tblInd w:w="0" w:type="dxa"/>
        <w:tblLayout w:type="fixed"/>
        <w:tblCellMar>
          <w:top w:w="0" w:type="dxa"/>
          <w:left w:w="0" w:type="dxa"/>
          <w:bottom w:w="0" w:type="dxa"/>
          <w:right w:w="0" w:type="dxa"/>
        </w:tblCellMar>
      </w:tblPr>
      <w:tblGrid>
        <w:gridCol w:w="3421"/>
        <w:gridCol w:w="109"/>
        <w:gridCol w:w="196"/>
        <w:gridCol w:w="601"/>
        <w:gridCol w:w="109"/>
        <w:gridCol w:w="253"/>
        <w:gridCol w:w="633"/>
        <w:gridCol w:w="109"/>
        <w:gridCol w:w="196"/>
        <w:gridCol w:w="691"/>
        <w:gridCol w:w="109"/>
        <w:gridCol w:w="196"/>
        <w:gridCol w:w="721"/>
        <w:gridCol w:w="109"/>
        <w:gridCol w:w="196"/>
        <w:gridCol w:w="691"/>
        <w:gridCol w:w="109"/>
        <w:gridCol w:w="196"/>
        <w:gridCol w:w="76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72335" cy="175260"/>
                      <wp:effectExtent l="0" t="0" r="0" b="0"/>
                      <wp:wrapNone/>
                      <wp:docPr id="136" name="Frame13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4460" cy="175260"/>
                      <wp:effectExtent l="0" t="0" r="0" b="0"/>
                      <wp:wrapNone/>
                      <wp:docPr id="138" name="Frame1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81635" cy="175260"/>
                      <wp:effectExtent l="0" t="0" r="0" b="0"/>
                      <wp:wrapNone/>
                      <wp:docPr id="139" name="Frame1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0655" cy="175260"/>
                      <wp:effectExtent l="0" t="0" r="0" b="0"/>
                      <wp:wrapNone/>
                      <wp:docPr id="141" name="Frame14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01955" cy="175260"/>
                      <wp:effectExtent l="0" t="0" r="0" b="0"/>
                      <wp:wrapNone/>
                      <wp:docPr id="142" name="Frame142"/>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460" cy="175260"/>
                      <wp:effectExtent l="0" t="0" r="0" b="0"/>
                      <wp:wrapNone/>
                      <wp:docPr id="144" name="Frame1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38785" cy="175260"/>
                      <wp:effectExtent l="0" t="0" r="0" b="0"/>
                      <wp:wrapNone/>
                      <wp:docPr id="145" name="Frame1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7" name="Frame1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57835" cy="175260"/>
                      <wp:effectExtent l="0" t="0" r="0" b="0"/>
                      <wp:wrapNone/>
                      <wp:docPr id="148" name="Frame14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50" name="Frame1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38785" cy="175260"/>
                      <wp:effectExtent l="0" t="0" r="0" b="0"/>
                      <wp:wrapNone/>
                      <wp:docPr id="151" name="Frame1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24460" cy="175260"/>
                      <wp:effectExtent l="0" t="0" r="0" b="0"/>
                      <wp:wrapNone/>
                      <wp:docPr id="153" name="Frame1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86410" cy="175260"/>
                      <wp:effectExtent l="0" t="0" r="0" b="0"/>
                      <wp:wrapNone/>
                      <wp:docPr id="154" name="Frame15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79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109" w:type="dxa"/>
            <w:tcBorders/>
            <w:vAlign w:val="center"/>
          </w:tcPr>
          <w:p>
            <w:pPr>
              <w:pStyle w:val="TableContents"/>
              <w:bidi w:val="0"/>
              <w:spacing w:before="0" w:after="1"/>
              <w:ind w:left="0" w:right="0" w:hanging="0"/>
              <w:jc w:val="center"/>
              <w:rPr/>
            </w:pPr>
            <w:r>
              <w:rPr/>
              <w:t>​</w:t>
            </w:r>
          </w:p>
        </w:tc>
        <w:tc>
          <w:tcPr>
            <w:tcW w:w="19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 or More</w:t>
            </w:r>
          </w:p>
        </w:tc>
        <w:tc>
          <w:tcPr>
            <w:tcW w:w="109" w:type="dxa"/>
            <w:tcBorders/>
            <w:vAlign w:val="center"/>
          </w:tcPr>
          <w:p>
            <w:pPr>
              <w:pStyle w:val="TableContents"/>
              <w:bidi w:val="0"/>
              <w:spacing w:before="0" w:after="1"/>
              <w:ind w:left="0" w:right="0" w:hanging="0"/>
              <w:jc w:val="center"/>
              <w:rPr/>
            </w:pPr>
            <w:r>
              <w:rPr/>
              <w:t>​</w:t>
            </w:r>
          </w:p>
        </w:tc>
        <w:tc>
          <w:tcPr>
            <w:tcW w:w="19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09"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09" w:type="dxa"/>
            <w:tcBorders/>
            <w:vAlign w:val="center"/>
          </w:tcPr>
          <w:p>
            <w:pPr>
              <w:pStyle w:val="TableContents"/>
              <w:bidi w:val="0"/>
              <w:spacing w:before="0" w:after="1"/>
              <w:ind w:left="0" w:right="0" w:hanging="0"/>
              <w:jc w:val="center"/>
              <w:rPr/>
            </w:pPr>
            <w:r>
              <w:rPr/>
              <w:t>​</w:t>
            </w:r>
          </w:p>
        </w:tc>
        <w:tc>
          <w:tcPr>
            <w:tcW w:w="9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34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1"/>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1"/>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Available-for-sale June 30, 2026</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53" w:type="dxa"/>
            <w:tcBorders/>
            <w:shd w:fill="CCEEFF" w:val="clear"/>
            <w:vAlign w:val="center"/>
          </w:tcPr>
          <w:p>
            <w:pPr>
              <w:pStyle w:val="TableContents"/>
              <w:bidi w:val="0"/>
              <w:spacing w:before="0" w:after="1"/>
              <w:ind w:left="0" w:right="0" w:hanging="0"/>
              <w:jc w:val="center"/>
              <w:rPr/>
            </w:pPr>
            <w:r>
              <w:rPr/>
              <w:t>​</w:t>
            </w:r>
          </w:p>
        </w:tc>
        <w:tc>
          <w:tcPr>
            <w:tcW w:w="63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766" w:type="dxa"/>
            <w:tcBorders/>
            <w:shd w:fill="CCEEFF" w:val="clear"/>
            <w:vAlign w:val="center"/>
          </w:tcPr>
          <w:p>
            <w:pPr>
              <w:pStyle w:val="TableContents"/>
              <w:bidi w:val="0"/>
              <w:spacing w:before="0" w:after="1"/>
              <w:ind w:left="0" w:right="0" w:hanging="0"/>
              <w:jc w:val="center"/>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government agencies and treasuries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53,029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(6,456)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53,029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(6,456)</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Mortgage-backed securities - residential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7,421</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158,698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(22,424)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166,119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(22,447)</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Mortgage-backed securities - commercial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4,957</w:t>
            </w:r>
          </w:p>
        </w:tc>
        <w:tc>
          <w:tcPr>
            <w:tcW w:w="109"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54,888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(15,592)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59,845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(15,625)</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16,133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(1,367)</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Obligations of states and political subdivisions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5,652</w:t>
            </w:r>
          </w:p>
        </w:tc>
        <w:tc>
          <w:tcPr>
            <w:tcW w:w="109"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72,471</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(9,340)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78,123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(9,392)</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debt securities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18,030</w:t>
            </w:r>
          </w:p>
        </w:tc>
        <w:tc>
          <w:tcPr>
            <w:tcW w:w="109"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355,219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(55,179)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373,249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(55,287)</w:t>
            </w:r>
          </w:p>
        </w:tc>
      </w:tr>
    </w:tbl>
    <w:p>
      <w:pPr>
        <w:pStyle w:val="TextBody"/>
        <w:bidi w:val="0"/>
        <w:spacing w:before="0" w:after="240"/>
        <w:ind w:left="0" w:right="0" w:firstLine="360"/>
        <w:jc w:val="both"/>
        <w:rPr/>
      </w:pPr>
      <w:r>
        <w:rPr/>
        <w:t>​</w:t>
      </w:r>
    </w:p>
    <w:tbl>
      <w:tblPr>
        <w:tblW w:w="9496" w:type="dxa"/>
        <w:jc w:val="left"/>
        <w:tblInd w:w="0" w:type="dxa"/>
        <w:tblLayout w:type="fixed"/>
        <w:tblCellMar>
          <w:top w:w="0" w:type="dxa"/>
          <w:left w:w="0" w:type="dxa"/>
          <w:bottom w:w="0" w:type="dxa"/>
          <w:right w:w="0" w:type="dxa"/>
        </w:tblCellMar>
      </w:tblPr>
      <w:tblGrid>
        <w:gridCol w:w="3421"/>
        <w:gridCol w:w="146"/>
        <w:gridCol w:w="229"/>
        <w:gridCol w:w="598"/>
        <w:gridCol w:w="127"/>
        <w:gridCol w:w="318"/>
        <w:gridCol w:w="568"/>
        <w:gridCol w:w="109"/>
        <w:gridCol w:w="196"/>
        <w:gridCol w:w="691"/>
        <w:gridCol w:w="109"/>
        <w:gridCol w:w="196"/>
        <w:gridCol w:w="721"/>
        <w:gridCol w:w="109"/>
        <w:gridCol w:w="196"/>
        <w:gridCol w:w="691"/>
        <w:gridCol w:w="109"/>
        <w:gridCol w:w="196"/>
        <w:gridCol w:w="76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72335" cy="175260"/>
                      <wp:effectExtent l="0" t="0" r="0" b="0"/>
                      <wp:wrapNone/>
                      <wp:docPr id="155" name="Frame155"/>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2710" cy="175260"/>
                      <wp:effectExtent l="0" t="0" r="0" b="0"/>
                      <wp:wrapNone/>
                      <wp:docPr id="156" name="Frame1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5415" cy="175260"/>
                      <wp:effectExtent l="0" t="0" r="0" b="0"/>
                      <wp:wrapNone/>
                      <wp:docPr id="157" name="Frame15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79730" cy="175260"/>
                      <wp:effectExtent l="0" t="0" r="0" b="0"/>
                      <wp:wrapNone/>
                      <wp:docPr id="158" name="Frame158"/>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80645" cy="175260"/>
                      <wp:effectExtent l="0" t="0" r="0" b="0"/>
                      <wp:wrapNone/>
                      <wp:docPr id="159" name="Frame159"/>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1930" cy="175260"/>
                      <wp:effectExtent l="0" t="0" r="0" b="0"/>
                      <wp:wrapNone/>
                      <wp:docPr id="160" name="Frame160"/>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60680" cy="175260"/>
                      <wp:effectExtent l="0" t="0" r="0" b="0"/>
                      <wp:wrapNone/>
                      <wp:docPr id="161" name="Frame161"/>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4460" cy="175260"/>
                      <wp:effectExtent l="0" t="0" r="0" b="0"/>
                      <wp:wrapNone/>
                      <wp:docPr id="163" name="Frame1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38785" cy="175260"/>
                      <wp:effectExtent l="0" t="0" r="0" b="0"/>
                      <wp:wrapNone/>
                      <wp:docPr id="164" name="Frame1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4460" cy="175260"/>
                      <wp:effectExtent l="0" t="0" r="0" b="0"/>
                      <wp:wrapNone/>
                      <wp:docPr id="166" name="Frame1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57835" cy="175260"/>
                      <wp:effectExtent l="0" t="0" r="0" b="0"/>
                      <wp:wrapNone/>
                      <wp:docPr id="167" name="Frame16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8785" cy="175260"/>
                      <wp:effectExtent l="0" t="0" r="0" b="0"/>
                      <wp:wrapNone/>
                      <wp:docPr id="170" name="Frame1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4460" cy="175260"/>
                      <wp:effectExtent l="0" t="0" r="0" b="0"/>
                      <wp:wrapNone/>
                      <wp:docPr id="172" name="Frame1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86410" cy="175260"/>
                      <wp:effectExtent l="0" t="0" r="0" b="0"/>
                      <wp:wrapNone/>
                      <wp:docPr id="173" name="Frame17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109" w:type="dxa"/>
            <w:tcBorders/>
            <w:vAlign w:val="center"/>
          </w:tcPr>
          <w:p>
            <w:pPr>
              <w:pStyle w:val="TableContents"/>
              <w:bidi w:val="0"/>
              <w:spacing w:before="0" w:after="0"/>
              <w:ind w:left="0" w:right="0" w:hanging="0"/>
              <w:jc w:val="center"/>
              <w:rPr/>
            </w:pPr>
            <w:r>
              <w:rPr/>
              <w:t>​</w:t>
            </w:r>
          </w:p>
        </w:tc>
        <w:tc>
          <w:tcPr>
            <w:tcW w:w="19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 or More</w:t>
            </w:r>
          </w:p>
        </w:tc>
        <w:tc>
          <w:tcPr>
            <w:tcW w:w="109" w:type="dxa"/>
            <w:tcBorders/>
            <w:vAlign w:val="center"/>
          </w:tcPr>
          <w:p>
            <w:pPr>
              <w:pStyle w:val="TableContents"/>
              <w:bidi w:val="0"/>
              <w:spacing w:before="0" w:after="0"/>
              <w:ind w:left="0" w:right="0" w:hanging="0"/>
              <w:jc w:val="center"/>
              <w:rPr/>
            </w:pPr>
            <w:r>
              <w:rPr/>
              <w:t>​</w:t>
            </w:r>
          </w:p>
        </w:tc>
        <w:tc>
          <w:tcPr>
            <w:tcW w:w="19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27"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09" w:type="dxa"/>
            <w:tcBorders/>
            <w:vAlign w:val="center"/>
          </w:tcPr>
          <w:p>
            <w:pPr>
              <w:pStyle w:val="TableContents"/>
              <w:bidi w:val="0"/>
              <w:spacing w:before="0" w:after="0"/>
              <w:ind w:left="0" w:right="0" w:hanging="0"/>
              <w:jc w:val="center"/>
              <w:rPr/>
            </w:pPr>
            <w:r>
              <w:rPr/>
              <w:t>​</w:t>
            </w:r>
          </w:p>
        </w:tc>
        <w:tc>
          <w:tcPr>
            <w:tcW w:w="9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342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27"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09"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Available-for-sale December 31, 2025</w:t>
            </w:r>
          </w:p>
        </w:tc>
        <w:tc>
          <w:tcPr>
            <w:tcW w:w="146" w:type="dxa"/>
            <w:tcBorders/>
            <w:shd w:fill="CCEEFF" w:val="clear"/>
            <w:vAlign w:val="center"/>
          </w:tcPr>
          <w:p>
            <w:pPr>
              <w:pStyle w:val="TableContents"/>
              <w:bidi w:val="0"/>
              <w:spacing w:before="0" w:after="0"/>
              <w:ind w:left="0" w:right="0" w:hanging="0"/>
              <w:jc w:val="center"/>
              <w:rPr/>
            </w:pPr>
            <w:r>
              <w:rPr/>
              <w:t>​</w:t>
            </w:r>
          </w:p>
        </w:tc>
        <w:tc>
          <w:tcPr>
            <w:tcW w:w="229" w:type="dxa"/>
            <w:tcBorders/>
            <w:shd w:fill="CCEEFF" w:val="clear"/>
            <w:vAlign w:val="center"/>
          </w:tcPr>
          <w:p>
            <w:pPr>
              <w:pStyle w:val="TableContents"/>
              <w:bidi w:val="0"/>
              <w:spacing w:before="0" w:after="0"/>
              <w:ind w:left="0" w:right="0" w:hanging="0"/>
              <w:jc w:val="center"/>
              <w:rPr/>
            </w:pPr>
            <w:r>
              <w:rPr/>
              <w:t>​</w:t>
            </w:r>
          </w:p>
        </w:tc>
        <w:tc>
          <w:tcPr>
            <w:tcW w:w="598" w:type="dxa"/>
            <w:tcBorders/>
            <w:shd w:fill="CCEEFF" w:val="clear"/>
            <w:vAlign w:val="center"/>
          </w:tcPr>
          <w:p>
            <w:pPr>
              <w:pStyle w:val="TableContents"/>
              <w:bidi w:val="0"/>
              <w:spacing w:before="0" w:after="0"/>
              <w:ind w:left="0" w:right="0" w:hanging="0"/>
              <w:jc w:val="center"/>
              <w:rPr/>
            </w:pPr>
            <w:r>
              <w:rPr/>
              <w:t>​</w:t>
            </w:r>
          </w:p>
        </w:tc>
        <w:tc>
          <w:tcPr>
            <w:tcW w:w="127" w:type="dxa"/>
            <w:tcBorders/>
            <w:shd w:fill="CCEEFF" w:val="clear"/>
            <w:vAlign w:val="center"/>
          </w:tcPr>
          <w:p>
            <w:pPr>
              <w:pStyle w:val="TableContents"/>
              <w:bidi w:val="0"/>
              <w:spacing w:before="0" w:after="0"/>
              <w:ind w:left="0" w:right="0" w:hanging="0"/>
              <w:jc w:val="center"/>
              <w:rPr/>
            </w:pPr>
            <w:r>
              <w:rPr/>
              <w:t>​</w:t>
            </w:r>
          </w:p>
        </w:tc>
        <w:tc>
          <w:tcPr>
            <w:tcW w:w="318" w:type="dxa"/>
            <w:tcBorders/>
            <w:shd w:fill="CCEEFF" w:val="clear"/>
            <w:vAlign w:val="center"/>
          </w:tcPr>
          <w:p>
            <w:pPr>
              <w:pStyle w:val="TableContents"/>
              <w:bidi w:val="0"/>
              <w:spacing w:before="0" w:after="0"/>
              <w:ind w:left="0" w:right="0" w:hanging="0"/>
              <w:jc w:val="center"/>
              <w:rPr/>
            </w:pPr>
            <w:r>
              <w:rPr/>
              <w:t>​</w:t>
            </w:r>
          </w:p>
        </w:tc>
        <w:tc>
          <w:tcPr>
            <w:tcW w:w="56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U.S. government agencies</w:t>
            </w:r>
          </w:p>
        </w:tc>
        <w:tc>
          <w:tcPr>
            <w:tcW w:w="1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w:t>
            </w:r>
          </w:p>
        </w:tc>
        <w:tc>
          <w:tcPr>
            <w:tcW w:w="127"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56,400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56,856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(6,097)</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Mortgage-backed securities - residential </w:t>
            </w:r>
          </w:p>
        </w:tc>
        <w:tc>
          <w:tcPr>
            <w:tcW w:w="146" w:type="dxa"/>
            <w:tcBorders/>
            <w:shd w:fill="CCEEFF" w:val="clear"/>
            <w:vAlign w:val="center"/>
          </w:tcPr>
          <w:p>
            <w:pPr>
              <w:pStyle w:val="TableContents"/>
              <w:bidi w:val="0"/>
              <w:spacing w:before="0" w:after="0"/>
              <w:ind w:left="0" w:right="0" w:hanging="0"/>
              <w:jc w:val="left"/>
              <w:rPr/>
            </w:pPr>
            <w:r>
              <w:rPr/>
              <w:t> </w:t>
            </w:r>
          </w:p>
        </w:tc>
        <w:tc>
          <w:tcPr>
            <w:tcW w:w="229"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right"/>
              <w:rPr/>
            </w:pPr>
            <w:r>
              <w:rPr/>
              <w:t>—</w:t>
            </w:r>
          </w:p>
        </w:tc>
        <w:tc>
          <w:tcPr>
            <w:tcW w:w="127"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56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(20,595)</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Mortgage-backed securities - commercial </w:t>
            </w:r>
          </w:p>
        </w:tc>
        <w:tc>
          <w:tcPr>
            <w:tcW w:w="1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598" w:type="dxa"/>
            <w:tcBorders/>
            <w:vAlign w:val="center"/>
          </w:tcPr>
          <w:p>
            <w:pPr>
              <w:pStyle w:val="TableContents"/>
              <w:bidi w:val="0"/>
              <w:spacing w:before="0" w:after="0"/>
              <w:ind w:left="0" w:right="0" w:hanging="0"/>
              <w:jc w:val="right"/>
              <w:rPr/>
            </w:pPr>
            <w:r>
              <w:rPr/>
              <w:t>—</w:t>
            </w:r>
          </w:p>
        </w:tc>
        <w:tc>
          <w:tcPr>
            <w:tcW w:w="127"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57,189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57,189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(14,931)</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1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59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2,952</w:t>
            </w:r>
          </w:p>
        </w:tc>
        <w:tc>
          <w:tcPr>
            <w:tcW w:w="127"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18,264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21,216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(1,785)</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of states and political subdivisions</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w:t>
            </w:r>
          </w:p>
        </w:tc>
        <w:tc>
          <w:tcPr>
            <w:tcW w:w="127"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76,825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78,572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(9,666)</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debt securities</w:t>
            </w:r>
          </w:p>
        </w:tc>
        <w:tc>
          <w:tcPr>
            <w:tcW w:w="14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5,155</w:t>
            </w:r>
          </w:p>
        </w:tc>
        <w:tc>
          <w:tcPr>
            <w:tcW w:w="127"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380,660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385,815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(53,074)</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the Company’s securities portfolio consisted of 242 securities, 211 of which were in an unrealized loss position. As of December 31, 2025, the Company’s securities portfolio consisted of 246 securities, 213 of which were in an unrealized loss position. Unrealized losses are primarily related to the Company’s mortgage backed securities, U.S. government agency securities, and investments in obligations of states and political subdivisions as discussed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Available for sale securities are evaluated to determine if a decline in fair value below the amortized cost basis has resulted from a credit loss or other factors. An impairment related to credit factors would be recorded through an allowance for credit losses. The allowance is limited to the amount by which the security’s amortized cost basis exceeds the fair value. An impairment that has not been recorded through an allowance for credit losses shall be recorded through other comprehensive income, net of applicable taxes. Investment securities will be written down to fair value through the Consolidated Statements of Income when management intends to sell, or may be required to sell, the securities before they recover in value. Substantially all of the investment securities are backed by loans guaranteed by either U.S. government agencies or U.S government-sponsored entities, and management believes that default is highly unlikely given the lack of historical credit losses and governmental backing. Management believes that the unrealized losses on these securities are a function of changes in market interest rates and credit spreads, not changes in credit quality.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available for sale debt securities portfolio includes U.S. government agencies and treasuries, mortgage-backed securities, corporate bonds, and obligations of states and political subdivisions, as well as other securities. These types of securities may include a risk of future impairment charges as a result of the changes in market interest rates, unpredictable nature of the U.S. economy and their potential negative effect on the future performance of the security issuers. Available for sale debt securities in unrealized loss positions are evaluated for impairment related to credit losses on a quarterly basis. Management reviewed the collectability of these securities, taking into consideration such factors as financial condition of the issuers, credit ratings when available, reported capital ratios of the issuers, among other pertinent factors. Management also evaluated the credit quality, the ability and intent to hold these securities to maturity, and the impact of interest rates on the respective fair values of the securities. Based on that review and evaluation, it was determined that any change in fair value was temporary and did not result in impairment. Accordingly, no impairment was recognized during the three and six months ended June 30, 2026.  Accrued interest on investments, which is excluded from the amortized cost of available for sale debt securities, totaled $1.8 million at June 30, 2026 and December 31, 2025, and is presented within total accrued interest receivable on the consolidated statements of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does not intend to sell any of its available for sale debt securities in an unrealized loss position prior to recovery of their amortized cost basis, and it is more likely than not that the Company will not be required to sell any of its securities prior to recovery of their amortized cost basis.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was no allowance for credit losses associated with investment securities for the three and six months ended June 30, 2026 and 2025. At June 30, 2026 management evaluated the requirement for an allowance for credit losses associated with the corporate securities portfolio.  It was determined that ACL-investments was not required. </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1080" w:name="Tc_X4s0AHR9dkqIrhod5zfZTQ_11_5"/>
      <w:bookmarkStart w:id="1081" w:name="Tc_e4hjNGiUmE-h94VzIqnmrw_11_2"/>
      <w:bookmarkStart w:id="1082" w:name="Tc_iHIdXcI9TEmX43PbMkMOHw_11_0"/>
      <w:bookmarkStart w:id="1083" w:name="Tc_g3-k-8KPWkShTcVDwdd5YQ_10_0"/>
      <w:bookmarkStart w:id="1084" w:name="Tc_hQFZlvifJ06t8bccUWOcMQ_9_5"/>
      <w:bookmarkStart w:id="1085" w:name="Tc_7pr-JOKoLkqw6mfp1goXuQ_9_2"/>
      <w:bookmarkStart w:id="1086" w:name="Tc_vaMukFgbF0G8oJjfKB94Nw_9_0"/>
      <w:bookmarkStart w:id="1087" w:name="Tc_3OWo5afsPku5SkQ0HpXYWQ_8_0"/>
      <w:bookmarkStart w:id="1088" w:name="Tc_8HcUzs-aNk-M3E_AYEGjMg_7_0"/>
      <w:bookmarkStart w:id="1089" w:name="Tc_rktcULgjBkGFwf1mbqN8SQ_6_0"/>
      <w:bookmarkStart w:id="1090" w:name="Tc_XfDYaQDtrUuUP0koapB8Vg_5_0"/>
      <w:bookmarkStart w:id="1091" w:name="Tc_Yq4uKsoRQ0e9W_7yPgcY4g_4_0"/>
      <w:bookmarkStart w:id="1092" w:name="Tc_fqtsYFptiEuWSqfRgVhJog_3_5"/>
      <w:bookmarkStart w:id="1093" w:name="Tc_fYiF4lKj-UyHaYujM3DTZg_3_2"/>
      <w:bookmarkStart w:id="1094" w:name="Tc_jY0fgAqUk0e9u3DFE5P3sQ_3_0"/>
      <w:bookmarkStart w:id="1095" w:name="Tc_nImtnr5xaUeFaBuXeTQ3Dw_2_2"/>
      <w:bookmarkStart w:id="1096" w:name="Tc_w1DV6plRAkubWRW27V8UiA_1_6"/>
      <w:bookmarkStart w:id="1097" w:name="Tc_bNsaMT7cn0iOISPjDh49xQ_1_3"/>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rFonts w:ascii="Times New Roman;Times;serif" w:hAnsi="Times New Roman;Times;serif"/>
          <w:b/>
          <w:sz w:val="20"/>
        </w:rPr>
        <w:t>Note 3 — Loans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Loans at June 30, 2026 and December 31, 2025 were as follows:</w:t>
      </w:r>
    </w:p>
    <w:p>
      <w:pPr>
        <w:pStyle w:val="TextBody"/>
        <w:bidi w:val="0"/>
        <w:spacing w:before="0" w:after="0"/>
        <w:ind w:left="0" w:right="0" w:hanging="0"/>
        <w:jc w:val="left"/>
        <w:rPr/>
      </w:pPr>
      <w:r>
        <w:rPr/>
        <w:t>​</w:t>
      </w:r>
    </w:p>
    <w:tbl>
      <w:tblPr>
        <w:tblW w:w="6145" w:type="dxa"/>
        <w:jc w:val="left"/>
        <w:tblInd w:w="0" w:type="dxa"/>
        <w:tblLayout w:type="fixed"/>
        <w:tblCellMar>
          <w:top w:w="0" w:type="dxa"/>
          <w:left w:w="0" w:type="dxa"/>
          <w:bottom w:w="0" w:type="dxa"/>
          <w:right w:w="0" w:type="dxa"/>
        </w:tblCellMar>
      </w:tblPr>
      <w:tblGrid>
        <w:gridCol w:w="2626"/>
        <w:gridCol w:w="346"/>
        <w:gridCol w:w="196"/>
        <w:gridCol w:w="1126"/>
        <w:gridCol w:w="109"/>
        <w:gridCol w:w="196"/>
        <w:gridCol w:w="154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67510" cy="175260"/>
                      <wp:effectExtent l="0" t="0" r="0" b="0"/>
                      <wp:wrapNone/>
                      <wp:docPr id="174" name="Frame17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15010" cy="175260"/>
                      <wp:effectExtent l="0" t="0" r="0" b="0"/>
                      <wp:wrapNone/>
                      <wp:docPr id="177" name="Frame17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81710" cy="175260"/>
                      <wp:effectExtent l="0" t="0" r="0" b="0"/>
                      <wp:wrapNone/>
                      <wp:docPr id="180" name="Frame180"/>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14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239,463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249,633</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1,506,536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1,480,062</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Commercial real estate construction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99,594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99,262</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Residential real estate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21,432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65,290</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Home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22,618</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36,228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33,419</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1,910,262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1,950,284</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Allowance for credit losses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(26,339)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(28,335)</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Loans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1,883,923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1,921,949</w: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 Company transferred loans with an aggregate principal balance of $68.4 million from the loan portfolio to loans held-for-sale. At the date of transfer, the loans were recorded as held-for-sale at $63.6 million, net of a valuation allowance of $4.8 million. As of June 30, 2026, the loans held-for-sale portfolio consisted of approximately $44.0 million of residential real estate loans and approximately $19.6 million of home equity loans.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Allowance for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engaged a third-party vendor to assist in the CECL calculation and internal governance framework to oversee the quarterly estimation process for the allowance for credit losses (“ACL”). The ACL calculation methodology relies on regression-based discounted cash flow (“DCF”) models that correlate relationships between certain financial metrics and external market and macroeconomic variables. The Company uses Probability of Default (“PD”) and Loss Given Default (“LGD”) with quantitative factors and qualitative considerations in the calculation of the allowance for credit losses for collectively evaluated loans. The Company uses a reasonable and supportable period of one year, at which point loss assumptions revert back to historical loss information by means of a one-year reversion period. Following are some of the key factors and assumptions that are used in the Company’s CECL calculations:</w:t>
      </w:r>
    </w:p>
    <w:p>
      <w:pPr>
        <w:pStyle w:val="TextBody"/>
        <w:bidi w:val="0"/>
        <w:spacing w:before="0" w:after="0"/>
        <w:ind w:left="0" w:right="0" w:firstLine="360"/>
        <w:jc w:val="both"/>
        <w:rPr/>
      </w:pPr>
      <w:r>
        <w:rPr/>
        <w:t>•  </w:t>
      </w:r>
      <w:r>
        <w:rPr>
          <w:rFonts w:ascii="Times New Roman;Times;serif" w:hAnsi="Times New Roman;Times;serif"/>
          <w:sz w:val="20"/>
        </w:rPr>
        <w:t>methods based on probability of default and loss given default which are modeled based on macroeconomic scenarios;</w:t>
      </w:r>
    </w:p>
    <w:p>
      <w:pPr>
        <w:pStyle w:val="TextBody"/>
        <w:pBdr/>
        <w:bidi w:val="0"/>
        <w:spacing w:before="0" w:after="0"/>
        <w:ind w:left="360" w:right="0" w:hanging="180"/>
        <w:jc w:val="both"/>
        <w:rPr/>
      </w:pPr>
      <w:r>
        <w:rPr/>
        <w:t>•  </w:t>
      </w:r>
      <w:r>
        <w:rPr>
          <w:rFonts w:ascii="Times New Roman;Times;serif" w:hAnsi="Times New Roman;Times;serif"/>
          <w:sz w:val="20"/>
        </w:rPr>
        <w:t>a reasonable and supportable forecast period determined based on management’s current review of macroeconomic environment;</w:t>
      </w:r>
    </w:p>
    <w:p>
      <w:pPr>
        <w:pStyle w:val="TextBody"/>
        <w:bidi w:val="0"/>
        <w:spacing w:before="0" w:after="0"/>
        <w:ind w:left="0" w:right="0" w:firstLine="360"/>
        <w:jc w:val="both"/>
        <w:rPr/>
      </w:pPr>
      <w:r>
        <w:rPr/>
        <w:t>•  </w:t>
      </w:r>
      <w:r>
        <w:rPr>
          <w:rFonts w:ascii="Times New Roman;Times;serif" w:hAnsi="Times New Roman;Times;serif"/>
          <w:sz w:val="20"/>
        </w:rPr>
        <w:t xml:space="preserve">a reversion period after the reasonable and supportable forecast period; </w:t>
      </w:r>
    </w:p>
    <w:p>
      <w:pPr>
        <w:pStyle w:val="TextBody"/>
        <w:bidi w:val="0"/>
        <w:spacing w:before="0" w:after="0"/>
        <w:ind w:left="0" w:right="0" w:firstLine="360"/>
        <w:jc w:val="both"/>
        <w:rPr/>
      </w:pPr>
      <w:r>
        <w:rPr/>
        <w:t>•  </w:t>
      </w:r>
      <w:r>
        <w:rPr>
          <w:rFonts w:ascii="Times New Roman;Times;serif" w:hAnsi="Times New Roman;Times;serif"/>
          <w:sz w:val="20"/>
        </w:rPr>
        <w:t xml:space="preserve">estimated prepayment rates based on the Company’s historical experience and future macroeconomic environment; </w:t>
      </w:r>
    </w:p>
    <w:p>
      <w:pPr>
        <w:pStyle w:val="TextBody"/>
        <w:bidi w:val="0"/>
        <w:spacing w:before="0" w:after="0"/>
        <w:ind w:left="0" w:right="0" w:firstLine="360"/>
        <w:jc w:val="both"/>
        <w:rPr/>
      </w:pPr>
      <w:r>
        <w:rPr/>
        <w:t>•  </w:t>
      </w:r>
      <w:r>
        <w:rPr>
          <w:rFonts w:ascii="Times New Roman;Times;serif" w:hAnsi="Times New Roman;Times;serif"/>
          <w:sz w:val="20"/>
        </w:rPr>
        <w:t>estimated credit utilization rates based on the Company’s historical experience and future macroeconomic environment; and</w:t>
      </w:r>
    </w:p>
    <w:p>
      <w:pPr>
        <w:pStyle w:val="TextBody"/>
        <w:bidi w:val="0"/>
        <w:spacing w:before="0" w:after="0"/>
        <w:ind w:left="0" w:right="0" w:firstLine="360"/>
        <w:jc w:val="both"/>
        <w:rPr/>
      </w:pPr>
      <w:r>
        <w:rPr/>
        <w:t>•  </w:t>
      </w:r>
      <w:r>
        <w:rPr>
          <w:rFonts w:ascii="Times New Roman;Times;serif" w:hAnsi="Times New Roman;Times;serif"/>
          <w:sz w:val="20"/>
        </w:rPr>
        <w:t xml:space="preserve">incorporation of qualitative factors not captured within the modeled results.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qualitative factors include but are not limited to changes in lending policies, business conditions, changes in the nature and size of the portfolio, portfolio concentrations, and external factors such as competition.</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Allowance for Credit Losses are aggregated for the major loan segments, with similar risk characteristics, summarized below. However, for the purposes of calculating the reserves, these segments may be further broken down into loan classes by risk characteristics that include but are not limited to regulatory call codes, industry type, geographic location, and collateral type.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Residential real estate loans involve certain risks such as interest rate risk and risk of non-repayment. Adjustable-rate residential real estate loans decrease the interest rate risk to the Bank that is associated with changes in interest rates but involve other risks, primarily because as interest rates rise, the payment by the borrower rises to the extent permitted by the terms of the loan, thereby increasing the potential for default. At the same time, the marketability of the underlying properties may be adversely affected by higher interest rates. Repayment risk may be affected by a number of factors including, but not necessarily limited to, job loss, divorce, illness and personal bankruptcy of the borrower.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098" w:name="Tc_Ym2MIoUd_UywiAMgS5X1fg_10_20"/>
      <w:bookmarkStart w:id="1099" w:name="Tc_8nGy6dY290mSndyrmRYGCQ_10_17"/>
      <w:bookmarkStart w:id="1100" w:name="Tc_k1J7XXZnd0qEH_yRKngybw_10_14"/>
      <w:bookmarkStart w:id="1101" w:name="Tc_JF9AmFfvhEaYNXjxS3-LGw_10_11"/>
      <w:bookmarkStart w:id="1102" w:name="Tc_Q9f1w9ztWU20FFu4DtIRmg_10_8"/>
      <w:bookmarkStart w:id="1103" w:name="Tc_fYVhhRtCF0STmY3PM28SCw_10_5"/>
      <w:bookmarkStart w:id="1104" w:name="Tc_YH9wN7Y3MkOROqX0tLxr8A_10_2"/>
      <w:bookmarkStart w:id="1105" w:name="Tc_XnXaY12bR0iOom40pkYPLA_10_0"/>
      <w:bookmarkStart w:id="1106" w:name="Tc_SswmGoJGPU-5Oyha_GcBoA_9_15"/>
      <w:bookmarkStart w:id="1107" w:name="Tc_pu7fffl4lEekvASpFfts_Q_9_12"/>
      <w:bookmarkStart w:id="1108" w:name="Tc_zzcvqqCDRUiPEudRdDgEmw_9_9"/>
      <w:bookmarkStart w:id="1109" w:name="Tc_wg8AlYwySkqMTUeja-idZw_9_6"/>
      <w:bookmarkStart w:id="1110" w:name="Tc_Hazs0C5h10yIpHLzi_bMtg_9_0"/>
      <w:bookmarkStart w:id="1111" w:name="Tc_dcoylpYOUEePYTu53X0VFQ_8_15"/>
      <w:bookmarkStart w:id="1112" w:name="Tc_wA2Tx2nIkEWXwnjQZHyNwg_8_12"/>
      <w:bookmarkStart w:id="1113" w:name="Tc_KXU1pCxL5U2eH74rehzwcQ_8_9"/>
      <w:bookmarkStart w:id="1114" w:name="Tc_Icr32iCVB0e1WfssRgT7Ug_8_0"/>
      <w:bookmarkStart w:id="1115" w:name="Tc_KFOPArqEoEeb3qQ5GP518w_7_0"/>
      <w:bookmarkStart w:id="1116" w:name="Tc_GoUk7gWOI0KsDsOQ40-2hg_6_20"/>
      <w:bookmarkStart w:id="1117" w:name="Tc_MLtHuDMETUmUkPyzBMKSIw_6_17"/>
      <w:bookmarkStart w:id="1118" w:name="Tc_coUwKlJAnU6HOniTtCvAWg_6_14"/>
      <w:bookmarkStart w:id="1119" w:name="Tc_daz4VORK5Uios0OuQy79gA_6_11"/>
      <w:bookmarkStart w:id="1120" w:name="Tc_BeCKLO2W1EqQk3bwJqpq-A_6_8"/>
      <w:bookmarkStart w:id="1121" w:name="Tc_bIUHyDzPHEy55C07I82p7Q_6_5"/>
      <w:bookmarkStart w:id="1122" w:name="Tc_KyaJalLBP0-tjnnK7UnQig_6_2"/>
      <w:bookmarkStart w:id="1123" w:name="Tc_uVr9Nt-xYkOFXc3fGG6w4w_6_0"/>
      <w:bookmarkStart w:id="1124" w:name="Tc_jClOrcUGq0eus_sBxvf-9g_5_0"/>
      <w:bookmarkStart w:id="1125" w:name="Tc_T41Nc3UufU6fHlMmCzB8xQ_4_20"/>
      <w:bookmarkStart w:id="1126" w:name="Tc_FYkz8OIXuUOcEF281j-gew_4_17"/>
      <w:bookmarkStart w:id="1127" w:name="Tc_Yc5CHiJEskeIVv1QEee3XA_4_14"/>
      <w:bookmarkStart w:id="1128" w:name="Tc_s1CeMDYgikmCOjjAryY1Uw_4_11"/>
      <w:bookmarkStart w:id="1129" w:name="Tc_bN48ZrfW_0azYW70d7in5A_4_8"/>
      <w:bookmarkStart w:id="1130" w:name="Tc_4nr0MgSGEUOoM-k_uUGDJg_4_5"/>
      <w:bookmarkStart w:id="1131" w:name="Tc_8XX16VUa7k-7OvPk4samFg_4_2"/>
      <w:bookmarkStart w:id="1132" w:name="Tc_f4Eqv_unRUaOXAZgaRgcEw_3_14"/>
      <w:bookmarkStart w:id="1133" w:name="Tc_NouZ3Zo8DkuoTf4yoOiXEg_3_11"/>
      <w:bookmarkStart w:id="1134" w:name="Tc_JaabyVEgzEa4YXgEIzhAxw_3_8"/>
      <w:bookmarkStart w:id="1135" w:name="Tc_AcouHtA3LkaLuuOeHFoTvw_3_5"/>
      <w:bookmarkStart w:id="1136" w:name="Tc_6sleS7cXmEG9QKDP1nEkow_3_2"/>
      <w:bookmarkStart w:id="1137" w:name="Tc_hkP-JeVLyE2nPv1eLOYVQw_2_8"/>
      <w:bookmarkStart w:id="1138" w:name="Tc_AvkKiL6CEUm_t2yVM27gug_2_2"/>
      <w:bookmarkStart w:id="1139" w:name="Tc_HAjiha8yXEmt6AU9D6ICwg_1_2"/>
      <w:bookmarkStart w:id="1140" w:name="_76a96431_1ab1_4eb0_bf60_86fafb42a0d5"/>
      <w:bookmarkStart w:id="1141" w:name="Tc_PzB2cxrCxUG_LqUhY1tq4A_10_20"/>
      <w:bookmarkStart w:id="1142" w:name="Tc_FdukA8wp_0ehGK223GlK_Q_10_17"/>
      <w:bookmarkStart w:id="1143" w:name="Tc_qEnam3Tsxk2J9Tx1whY3yA_10_14"/>
      <w:bookmarkStart w:id="1144" w:name="Tc_GaqcRy-DOEW2K77wkrbr0w_10_11"/>
      <w:bookmarkStart w:id="1145" w:name="Tc_DCYqRMiTpkC127VR_kcqNw_10_8"/>
      <w:bookmarkStart w:id="1146" w:name="Tc_lFd5ELo1CEyaLB5QLzS2QQ_10_5"/>
      <w:bookmarkStart w:id="1147" w:name="Tc_8gbRFnU_LE2EnhKiF8dHEA_10_2"/>
      <w:bookmarkStart w:id="1148" w:name="Tc_g6LtYr3kn0KC5wXkHcIyLg_10_0"/>
      <w:bookmarkStart w:id="1149" w:name="Tc_rWcwnHedtkWT_Yw-FRajsA_9_15"/>
      <w:bookmarkStart w:id="1150" w:name="Tc_VggdApi5oUe4PvCzY3k5wQ_9_12"/>
      <w:bookmarkStart w:id="1151" w:name="Tc_17-HMFEIh0WgQVcddPKHgw_9_9"/>
      <w:bookmarkStart w:id="1152" w:name="Tc_0ocLWUh0zkqSb7R2F-xgxA_9_6"/>
      <w:bookmarkStart w:id="1153" w:name="Tc_7eGMtnYhwkmOjPxcv2P_tw_9_0"/>
      <w:bookmarkStart w:id="1154" w:name="Tc_boEs9JeXZkKcrKD218fsvQ_8_18"/>
      <w:bookmarkStart w:id="1155" w:name="Tc_w771Gow7GEebtmUkiYRARQ_8_15"/>
      <w:bookmarkStart w:id="1156" w:name="Tc_4wSHVmVsnECM_NmueCj3Hw_8_12"/>
      <w:bookmarkStart w:id="1157" w:name="Tc_FsolYX0h2kq6pDVJILh4bg_8_9"/>
      <w:bookmarkStart w:id="1158" w:name="Tc_tDFDeP7pn0G8Wc2zi0BwMQ_8_0"/>
      <w:bookmarkStart w:id="1159" w:name="Tc_zpbjPDbcs0mDrT8ZxCl7Vw_7_0"/>
      <w:bookmarkStart w:id="1160" w:name="Tc_gBscpadQc0-uKr1kbfUAUA_6_20"/>
      <w:bookmarkStart w:id="1161" w:name="Tc_bdB4aEngf06O-t8_IRX-xA_6_17"/>
      <w:bookmarkStart w:id="1162" w:name="Tc_Uk4Ja_Qu-0yjWucXD15-Cg_6_14"/>
      <w:bookmarkStart w:id="1163" w:name="Tc_2p-u42adUku1ZO1Ikl78TA_6_11"/>
      <w:bookmarkStart w:id="1164" w:name="Tc_BcmfukjR_0GFpLaClzetwg_6_8"/>
      <w:bookmarkStart w:id="1165" w:name="Tc_WSWxHpW_GkiW7xZ5Hr_nrQ_6_5"/>
      <w:bookmarkStart w:id="1166" w:name="Tc_l_HQ-h8rmUmIh8P9UlPfLw_6_2"/>
      <w:bookmarkStart w:id="1167" w:name="Tc_wbGZf3ts90ePvonKWTzgQA_6_0"/>
      <w:bookmarkStart w:id="1168" w:name="Tc_bAU3Luy_90CLMywuSE6nYw_5_0"/>
      <w:bookmarkStart w:id="1169" w:name="Tc_oPqextI6IkSgJLsjZQqpog_4_20"/>
      <w:bookmarkStart w:id="1170" w:name="Tc_lebD_jvnhkubX6KLfnsN5A_4_17"/>
      <w:bookmarkStart w:id="1171" w:name="Tc__S5mkbbVrEWeI5WSykS8AA_4_14"/>
      <w:bookmarkStart w:id="1172" w:name="Tc_dBfYyHxWL0eC6rIqKVZ7iw_4_11"/>
      <w:bookmarkStart w:id="1173" w:name="Tc_jw-VxRV2ikC8nvfvqj8sUA_4_8"/>
      <w:bookmarkStart w:id="1174" w:name="Tc_ZnILq8uKWkKVjY4Z1dPRLg_4_5"/>
      <w:bookmarkStart w:id="1175" w:name="Tc_5X0WgZCiv0e-Xn7B8nFPbw_4_2"/>
      <w:bookmarkStart w:id="1176" w:name="Tc_hA6vyJ9kuU-wyPo5KekKOQ_3_14"/>
      <w:bookmarkStart w:id="1177" w:name="Tc_82oJ7Et6bEu89UUdO5k8dA_3_11"/>
      <w:bookmarkStart w:id="1178" w:name="Tc_7KeqQ701w0eVE904AA3txA_3_8"/>
      <w:bookmarkStart w:id="1179" w:name="Tc_Q67KMvc1eE-wIq2xrhVElQ_3_5"/>
      <w:bookmarkStart w:id="1180" w:name="Tc_FZ9VOWE_F0SPSjYXZQxACw_3_2"/>
      <w:bookmarkStart w:id="1181" w:name="Tc_JGEPDOoNykG6SEvp_GNyyw_2_8"/>
      <w:bookmarkStart w:id="1182" w:name="Tc_1YkkhMsWdE2Oe19qvY1ZOQ_2_2"/>
      <w:bookmarkStart w:id="1183" w:name="Tc_A7feF7WC80usugm4SZ4yeA_1_2"/>
      <w:bookmarkStart w:id="1184" w:name="_8579844f_2eaa_41da_9da1_03292ab7ead5"/>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r>
        <w:rPr>
          <w:rFonts w:ascii="Times New Roman;Times;serif" w:hAnsi="Times New Roman;Times;serif"/>
          <w:sz w:val="20"/>
        </w:rPr>
        <w:t>Commercial and multi-family real estate lending entails additional risks as compared with residential family property lending. Such loans typically involve large loan balances to single borrowers or groups of related borrowers. The payment experience on such loans is typically dependent on the successful operation of the real estate project. The success of such projects is sensitive to changes in supply and demand conditions in the market for commercial real estate as well as general economic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Construction lending is generally considered to involve a high risk due to the concentration of principal in a limited number of loans and borrowers and the effects of the general economic conditions on developers and builders. Moreover, a construction loan can involve additional risks because of the inherent difficulty in estimating both a property’s value at completion of the project and the estimated cost (including interest) of the project. The nature of these loans is such that they are generally difficult to evaluate and monitor. In addition, speculative construction loans to a builder are not necessarily pre-sold and thus pose a greater potential risk to the Bank than construction loans to individuals on their personal residence.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Commercial and industrial lending, including lines of credit, is generally considered higher risk due to the concentration of principal in a limited number of loans and borrowers and the effects of general economic conditions on the business. Commercial business loans are primarily secured by inventories and other business assets. In many cases, any repossessed collateral for a defaulted commercial business loans will not provide an adequate source of repayment of the outstanding loan balance.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Home equity lending entails certain risks such as interest rate risk and risk of non-repayment. The marketability of the underlying property may be adversely affected by higher interest rates, decreasing the collateral value securing the loan. Repayment risk can be affected by job loss, divorce, illness and personal bankruptcy of the borrower. Home equity line of credit lending entails securing an equity interest in the borrower’s home. In many cases, the Bank’s position in these loans is as a junior lien holder to another institution’s superior lien. This type of lending is often priced on an adjustable rate basis with the rate set at or above a predefined index. Adjustable-rate loans decrease the interest rate risk to the Bank that is associated with changes in interest rates but involve other risks, primarily because as interest rates rise, the payment by the borrower rises to the extent permitted by the terms of the loan, thereby increasing the potential for default.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Consumer loans generally have more credit risk because of the type and nature of the collateral and, in certain cases, the absence of collateral. Consumer loans generally have shorter terms and higher interest rates than other lending. In addition, consumer lending collections are dependent on the borrower’s continuing financial stability, and thus are more likely to be adversely affected by job loss, divorce, illness and personal bankruptcy. In many cases, any repossessed collateral for a defaulted consumer loan will not provide an adequate source of repayment of the outstanding loan.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present the activity in the allowance by portfolio segment for each of the three and six months ended June 30, 2026 and 2025: (Note: The activity presented does not include provisions recorded to support the reserve associated with off balance sheet commitments)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0"/>
        <w:gridCol w:w="346"/>
        <w:gridCol w:w="274"/>
        <w:gridCol w:w="717"/>
        <w:gridCol w:w="346"/>
        <w:gridCol w:w="243"/>
        <w:gridCol w:w="748"/>
        <w:gridCol w:w="346"/>
        <w:gridCol w:w="290"/>
        <w:gridCol w:w="761"/>
        <w:gridCol w:w="346"/>
        <w:gridCol w:w="257"/>
        <w:gridCol w:w="674"/>
        <w:gridCol w:w="346"/>
        <w:gridCol w:w="196"/>
        <w:gridCol w:w="459"/>
        <w:gridCol w:w="346"/>
        <w:gridCol w:w="288"/>
        <w:gridCol w:w="553"/>
        <w:gridCol w:w="346"/>
        <w:gridCol w:w="196"/>
        <w:gridCol w:w="707"/>
      </w:tblGrid>
      <w:tr>
        <w:trPr/>
        <w:tc>
          <w:tcPr>
            <w:tcW w:w="1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901700" cy="175260"/>
                      <wp:effectExtent l="0" t="0" r="0" b="0"/>
                      <wp:wrapNone/>
                      <wp:docPr id="181" name="Frame181"/>
                      <a:graphic xmlns:a="http://schemas.openxmlformats.org/drawingml/2006/main">
                        <a:graphicData uri="http://schemas.microsoft.com/office/word/2010/wordprocessingShape">
                          <wps:wsp>
                            <wps:cNvSpPr txBox="1"/>
                            <wps:spPr>
                              <a:xfrm>
                                <a:off x="0" y="0"/>
                                <a:ext cx="901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73990" cy="175260"/>
                      <wp:effectExtent l="0" t="0" r="0" b="0"/>
                      <wp:wrapNone/>
                      <wp:docPr id="183" name="Frame183"/>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55295" cy="175260"/>
                      <wp:effectExtent l="0" t="0" r="0" b="0"/>
                      <wp:wrapNone/>
                      <wp:docPr id="184" name="Frame184"/>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54305" cy="175260"/>
                      <wp:effectExtent l="0" t="0" r="0" b="0"/>
                      <wp:wrapNone/>
                      <wp:docPr id="186" name="Frame18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74980" cy="175260"/>
                      <wp:effectExtent l="0" t="0" r="0" b="0"/>
                      <wp:wrapNone/>
                      <wp:docPr id="187" name="Frame187"/>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4150" cy="175260"/>
                      <wp:effectExtent l="0" t="0" r="0" b="0"/>
                      <wp:wrapNone/>
                      <wp:docPr id="189" name="Frame189"/>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83235" cy="175260"/>
                      <wp:effectExtent l="0" t="0" r="0" b="0"/>
                      <wp:wrapNone/>
                      <wp:docPr id="190" name="Frame190"/>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3195" cy="175260"/>
                      <wp:effectExtent l="0" t="0" r="0" b="0"/>
                      <wp:wrapNone/>
                      <wp:docPr id="192" name="Frame19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7990" cy="175260"/>
                      <wp:effectExtent l="0" t="0" r="0" b="0"/>
                      <wp:wrapNone/>
                      <wp:docPr id="193" name="Frame193"/>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24460" cy="175260"/>
                      <wp:effectExtent l="0" t="0" r="0" b="0"/>
                      <wp:wrapNone/>
                      <wp:docPr id="195" name="Frame1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91465" cy="175260"/>
                      <wp:effectExtent l="0" t="0" r="0" b="0"/>
                      <wp:wrapNone/>
                      <wp:docPr id="196" name="Frame196"/>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82880" cy="175260"/>
                      <wp:effectExtent l="0" t="0" r="0" b="0"/>
                      <wp:wrapNone/>
                      <wp:docPr id="198" name="Frame198"/>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51155" cy="175260"/>
                      <wp:effectExtent l="0" t="0" r="0" b="0"/>
                      <wp:wrapNone/>
                      <wp:docPr id="199" name="Frame199"/>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460" cy="175260"/>
                      <wp:effectExtent l="0" t="0" r="0" b="0"/>
                      <wp:wrapNone/>
                      <wp:docPr id="201" name="Frame2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48945" cy="175260"/>
                      <wp:effectExtent l="0" t="0" r="0" b="0"/>
                      <wp:wrapNone/>
                      <wp:docPr id="202" name="Frame202"/>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39"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14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  ​ ​ ​</w:t>
            </w:r>
          </w:p>
        </w:tc>
        <w:tc>
          <w:tcPr>
            <w:tcW w:w="24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  ​ ​ ​</w:t>
            </w:r>
          </w:p>
        </w:tc>
        <w:tc>
          <w:tcPr>
            <w:tcW w:w="257"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88" w:type="dxa"/>
            <w:tcBorders/>
            <w:vAlign w:val="center"/>
          </w:tcPr>
          <w:p>
            <w:pPr>
              <w:pStyle w:val="TableContents"/>
              <w:bidi w:val="0"/>
              <w:spacing w:before="0" w:after="0"/>
              <w:ind w:left="0" w:right="0" w:hanging="0"/>
              <w:jc w:val="left"/>
              <w:rPr/>
            </w:pPr>
            <w:r>
              <w:rPr/>
              <w:t>​</w:t>
            </w:r>
          </w:p>
        </w:tc>
        <w:tc>
          <w:tcPr>
            <w:tcW w:w="5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center"/>
              <w:rPr/>
            </w:pPr>
            <w:r>
              <w:rPr/>
              <w:t>​</w:t>
            </w:r>
          </w:p>
        </w:tc>
      </w:tr>
      <w:tr>
        <w:trPr/>
        <w:tc>
          <w:tcPr>
            <w:tcW w:w="14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6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Home</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center"/>
              <w:rPr/>
            </w:pPr>
            <w:r>
              <w:rPr/>
              <w:t>​</w:t>
            </w:r>
          </w:p>
        </w:tc>
      </w:tr>
      <w:tr>
        <w:trPr/>
        <w:tc>
          <w:tcPr>
            <w:tcW w:w="14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346" w:type="dxa"/>
            <w:tcBorders/>
            <w:vAlign w:val="center"/>
          </w:tcPr>
          <w:p>
            <w:pPr>
              <w:pStyle w:val="TableContents"/>
              <w:bidi w:val="0"/>
              <w:spacing w:before="0" w:after="0"/>
              <w:ind w:left="0" w:right="0" w:hanging="0"/>
              <w:jc w:val="left"/>
              <w:rPr/>
            </w:pPr>
            <w:r>
              <w:rPr/>
              <w:t>​</w:t>
            </w:r>
          </w:p>
        </w:tc>
        <w:tc>
          <w:tcPr>
            <w:tcW w:w="9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Allowance for credit losses: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88"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  ​</w:t>
            </w:r>
          </w:p>
        </w:tc>
      </w:tr>
      <w:tr>
        <w:trPr/>
        <w:tc>
          <w:tcPr>
            <w:tcW w:w="14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4,713</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19,884</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1,104</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27,844</w:t>
            </w:r>
          </w:p>
        </w:tc>
      </w:tr>
      <w:tr>
        <w:trPr/>
        <w:tc>
          <w:tcPr>
            <w:tcW w:w="142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w:t>
            </w:r>
          </w:p>
        </w:tc>
      </w:tr>
      <w:tr>
        <w:trPr/>
        <w:tc>
          <w:tcPr>
            <w:tcW w:w="1420" w:type="dxa"/>
            <w:tcBorders/>
            <w:vAlign w:val="center"/>
          </w:tcPr>
          <w:p>
            <w:pPr>
              <w:pStyle w:val="TableContents"/>
              <w:bidi w:val="0"/>
              <w:spacing w:before="0" w:after="0"/>
              <w:ind w:left="0" w:right="0" w:hanging="0"/>
              <w:jc w:val="left"/>
              <w:rPr>
                <w:rFonts w:ascii="Times New Roman;Times;serif" w:hAnsi="Times New Roman;Times;serif"/>
                <w:color w:val="231F20"/>
                <w:sz w:val="18"/>
              </w:rPr>
            </w:pPr>
            <w:r>
              <w:rPr>
                <w:rFonts w:ascii="Times New Roman;Times;serif" w:hAnsi="Times New Roman;Times;serif"/>
                <w:color w:val="231F20"/>
                <w:sz w:val="18"/>
              </w:rPr>
              <w:t>Charge-offs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w:t>
            </w:r>
          </w:p>
        </w:tc>
      </w:tr>
      <w:tr>
        <w:trPr/>
        <w:tc>
          <w:tcPr>
            <w:tcW w:w="14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14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Ending balance</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4,511</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19,175</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26,339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The provision for credit losses on the income statement also includes approximately $35 associated with off balance sheet ACL.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2"/>
        <w:gridCol w:w="346"/>
        <w:gridCol w:w="274"/>
        <w:gridCol w:w="717"/>
        <w:gridCol w:w="346"/>
        <w:gridCol w:w="243"/>
        <w:gridCol w:w="748"/>
        <w:gridCol w:w="346"/>
        <w:gridCol w:w="290"/>
        <w:gridCol w:w="761"/>
        <w:gridCol w:w="346"/>
        <w:gridCol w:w="257"/>
        <w:gridCol w:w="674"/>
        <w:gridCol w:w="346"/>
        <w:gridCol w:w="196"/>
        <w:gridCol w:w="397"/>
        <w:gridCol w:w="346"/>
        <w:gridCol w:w="288"/>
        <w:gridCol w:w="553"/>
        <w:gridCol w:w="346"/>
        <w:gridCol w:w="196"/>
        <w:gridCol w:w="707"/>
      </w:tblGrid>
      <w:tr>
        <w:trPr/>
        <w:tc>
          <w:tcPr>
            <w:tcW w:w="1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41070" cy="175260"/>
                      <wp:effectExtent l="0" t="0" r="0" b="0"/>
                      <wp:wrapNone/>
                      <wp:docPr id="203" name="Frame203"/>
                      <a:graphic xmlns:a="http://schemas.openxmlformats.org/drawingml/2006/main">
                        <a:graphicData uri="http://schemas.microsoft.com/office/word/2010/wordprocessingShape">
                          <wps:wsp>
                            <wps:cNvSpPr txBox="1"/>
                            <wps:spPr>
                              <a:xfrm>
                                <a:off x="0" y="0"/>
                                <a:ext cx="941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3990" cy="175260"/>
                      <wp:effectExtent l="0" t="0" r="0" b="0"/>
                      <wp:wrapNone/>
                      <wp:docPr id="205" name="Frame20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55295" cy="175260"/>
                      <wp:effectExtent l="0" t="0" r="0" b="0"/>
                      <wp:wrapNone/>
                      <wp:docPr id="206" name="Frame206"/>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4305" cy="175260"/>
                      <wp:effectExtent l="0" t="0" r="0" b="0"/>
                      <wp:wrapNone/>
                      <wp:docPr id="208" name="Frame20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74980" cy="175260"/>
                      <wp:effectExtent l="0" t="0" r="0" b="0"/>
                      <wp:wrapNone/>
                      <wp:docPr id="209" name="Frame209"/>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4150" cy="175260"/>
                      <wp:effectExtent l="0" t="0" r="0" b="0"/>
                      <wp:wrapNone/>
                      <wp:docPr id="211" name="Frame211"/>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83235" cy="175260"/>
                      <wp:effectExtent l="0" t="0" r="0" b="0"/>
                      <wp:wrapNone/>
                      <wp:docPr id="212" name="Frame21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3195" cy="175260"/>
                      <wp:effectExtent l="0" t="0" r="0" b="0"/>
                      <wp:wrapNone/>
                      <wp:docPr id="214" name="Frame21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27990" cy="175260"/>
                      <wp:effectExtent l="0" t="0" r="0" b="0"/>
                      <wp:wrapNone/>
                      <wp:docPr id="215" name="Frame215"/>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24460" cy="175260"/>
                      <wp:effectExtent l="0" t="0" r="0" b="0"/>
                      <wp:wrapNone/>
                      <wp:docPr id="217" name="Frame2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52095" cy="175260"/>
                      <wp:effectExtent l="0" t="0" r="0" b="0"/>
                      <wp:wrapNone/>
                      <wp:docPr id="218" name="Frame21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82880" cy="175260"/>
                      <wp:effectExtent l="0" t="0" r="0" b="0"/>
                      <wp:wrapNone/>
                      <wp:docPr id="220" name="Frame220"/>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51155" cy="175260"/>
                      <wp:effectExtent l="0" t="0" r="0" b="0"/>
                      <wp:wrapNone/>
                      <wp:docPr id="221" name="Frame221"/>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24460" cy="175260"/>
                      <wp:effectExtent l="0" t="0" r="0" b="0"/>
                      <wp:wrapNone/>
                      <wp:docPr id="223" name="Frame2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48945" cy="175260"/>
                      <wp:effectExtent l="0" t="0" r="0" b="0"/>
                      <wp:wrapNone/>
                      <wp:docPr id="224" name="Frame224"/>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377"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14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  ​ ​ ​</w:t>
            </w:r>
          </w:p>
        </w:tc>
        <w:tc>
          <w:tcPr>
            <w:tcW w:w="243" w:type="dxa"/>
            <w:tcBorders/>
            <w:vAlign w:val="center"/>
          </w:tcPr>
          <w:p>
            <w:pPr>
              <w:pStyle w:val="TableContents"/>
              <w:bidi w:val="0"/>
              <w:spacing w:before="0" w:after="0"/>
              <w:ind w:left="0" w:right="0" w:hanging="0"/>
              <w:jc w:val="center"/>
              <w:rPr/>
            </w:pPr>
            <w:r>
              <w:rPr/>
              <w:t>​</w:t>
            </w:r>
          </w:p>
        </w:tc>
        <w:tc>
          <w:tcPr>
            <w:tcW w:w="74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  ​ ​ ​</w:t>
            </w:r>
          </w:p>
        </w:tc>
        <w:tc>
          <w:tcPr>
            <w:tcW w:w="257"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3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88" w:type="dxa"/>
            <w:tcBorders/>
            <w:vAlign w:val="center"/>
          </w:tcPr>
          <w:p>
            <w:pPr>
              <w:pStyle w:val="TableContents"/>
              <w:bidi w:val="0"/>
              <w:spacing w:before="0" w:after="0"/>
              <w:ind w:left="0" w:right="0" w:hanging="0"/>
              <w:jc w:val="center"/>
              <w:rPr/>
            </w:pPr>
            <w:r>
              <w:rPr/>
              <w:t>​</w:t>
            </w:r>
          </w:p>
        </w:tc>
        <w:tc>
          <w:tcPr>
            <w:tcW w:w="5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707" w:type="dxa"/>
            <w:tcBorders/>
            <w:vAlign w:val="center"/>
          </w:tcPr>
          <w:p>
            <w:pPr>
              <w:pStyle w:val="TableContents"/>
              <w:bidi w:val="0"/>
              <w:spacing w:before="0" w:after="0"/>
              <w:ind w:left="0" w:right="0" w:hanging="0"/>
              <w:jc w:val="center"/>
              <w:rPr/>
            </w:pPr>
            <w:r>
              <w:rPr/>
              <w:t>​</w:t>
            </w:r>
          </w:p>
        </w:tc>
      </w:tr>
      <w:tr>
        <w:trPr/>
        <w:tc>
          <w:tcPr>
            <w:tcW w:w="14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0"/>
              <w:ind w:left="0" w:right="0" w:hanging="0"/>
              <w:jc w:val="left"/>
              <w:rPr/>
            </w:pPr>
            <w:r>
              <w:rPr/>
              <w:t>​</w:t>
            </w:r>
          </w:p>
        </w:tc>
        <w:tc>
          <w:tcPr>
            <w:tcW w:w="5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Home</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center"/>
              <w:rPr/>
            </w:pPr>
            <w:r>
              <w:rPr/>
              <w:t>​</w:t>
            </w:r>
          </w:p>
        </w:tc>
        <w:tc>
          <w:tcPr>
            <w:tcW w:w="5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07" w:type="dxa"/>
            <w:tcBorders/>
            <w:vAlign w:val="center"/>
          </w:tcPr>
          <w:p>
            <w:pPr>
              <w:pStyle w:val="TableContents"/>
              <w:bidi w:val="0"/>
              <w:spacing w:before="0" w:after="0"/>
              <w:ind w:left="0" w:right="0" w:hanging="0"/>
              <w:jc w:val="center"/>
              <w:rPr/>
            </w:pPr>
            <w:r>
              <w:rPr/>
              <w:t>​</w:t>
            </w:r>
          </w:p>
        </w:tc>
      </w:tr>
      <w:tr>
        <w:trPr/>
        <w:tc>
          <w:tcPr>
            <w:tcW w:w="14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34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0"/>
              <w:ind w:left="0" w:right="0" w:hanging="0"/>
              <w:jc w:val="left"/>
              <w:rPr/>
            </w:pPr>
            <w:r>
              <w:rPr/>
              <w:t>​</w:t>
            </w:r>
          </w:p>
        </w:tc>
        <w:tc>
          <w:tcPr>
            <w:tcW w:w="5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346" w:type="dxa"/>
            <w:tcBorders/>
            <w:vAlign w:val="center"/>
          </w:tcPr>
          <w:p>
            <w:pPr>
              <w:pStyle w:val="TableContents"/>
              <w:bidi w:val="0"/>
              <w:spacing w:before="0" w:after="0"/>
              <w:ind w:left="0" w:right="0" w:hanging="0"/>
              <w:jc w:val="left"/>
              <w:rPr/>
            </w:pPr>
            <w:r>
              <w:rPr/>
              <w:t>​</w:t>
            </w:r>
          </w:p>
        </w:tc>
        <w:tc>
          <w:tcPr>
            <w:tcW w:w="9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Allowance for credit losses: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88"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  ​</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4,902</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20,101</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1,040</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28,335</w:t>
            </w:r>
          </w:p>
        </w:tc>
      </w:tr>
      <w:tr>
        <w:trPr/>
        <w:tc>
          <w:tcPr>
            <w:tcW w:w="148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color w:val="231F20"/>
                <w:sz w:val="18"/>
              </w:rPr>
            </w:pPr>
            <w:r>
              <w:rPr>
                <w:rFonts w:ascii="Times New Roman;Times;serif" w:hAnsi="Times New Roman;Times;serif"/>
                <w:color w:val="231F20"/>
                <w:sz w:val="18"/>
              </w:rPr>
              <w:t>Charge-offs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Ending balance</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4,511</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19,175</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4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26,339</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 The provision for credit losses on the income statement also includes approximately $22 associated with off balance sheet ACL.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185" w:name="Tc_qlmxhsD1Kka_WWZouBRlKA_14_20"/>
      <w:bookmarkStart w:id="1186" w:name="Tc_1_KKIkMA1k-_BGj6O3Aumg_14_17"/>
      <w:bookmarkStart w:id="1187" w:name="Tc_4qwMga23IUGJZ3_ys17Sbg_14_14"/>
      <w:bookmarkStart w:id="1188" w:name="Tc_VZli895fLkGiE1ATWYMMew_14_11"/>
      <w:bookmarkStart w:id="1189" w:name="Tc_ENzvCTa4DkaIrmz3tP5BWA_14_8"/>
      <w:bookmarkStart w:id="1190" w:name="Tc_eEOwEhYlVkiy4XfxA3rSbw_14_5"/>
      <w:bookmarkStart w:id="1191" w:name="Tc_GmFol51Wl0-53uoCp935aQ_14_2"/>
      <w:bookmarkStart w:id="1192" w:name="Tc_Xmaq8P4bVkqrdKNspiz-0Q_14_0"/>
      <w:bookmarkStart w:id="1193" w:name="Tc_dqHuHST2zkyIywQ2jm72mg_13_0"/>
      <w:bookmarkStart w:id="1194" w:name="Tc_Qfet5qJPC0mW7EbAG3sesQ_12_20"/>
      <w:bookmarkStart w:id="1195" w:name="Tc_wI3m7TRTZUWnHwHQn5X-mA_12_18"/>
      <w:bookmarkStart w:id="1196" w:name="Tc_PYfGKc5ENku5NFjLu3YfEA_12_17"/>
      <w:bookmarkStart w:id="1197" w:name="Tc_gfb6sRO2uECF5yoA516ymA_12_14"/>
      <w:bookmarkStart w:id="1198" w:name="Tc_6vJebqs0kECGW8zGcqlEYQ_12_11"/>
      <w:bookmarkStart w:id="1199" w:name="Tc_gMuIkGsXjUOsM84ROuBBDA_12_9"/>
      <w:bookmarkStart w:id="1200" w:name="Tc_QaIGjIvdwUSVOEvEX-cLRg_12_8"/>
      <w:bookmarkStart w:id="1201" w:name="Tc_gPTiiKigtkispjwVzvFKCw_12_5"/>
      <w:bookmarkStart w:id="1202" w:name="Tc_L-McusgRmE2fDddp-8pBtg_12_2"/>
      <w:bookmarkStart w:id="1203" w:name="Tc_2aME0lPouUypKcyiRfz_lw_12_0"/>
      <w:bookmarkStart w:id="1204" w:name="Tc_1Z7aIyiqaE-75CjLxooYEw_11_0"/>
      <w:bookmarkStart w:id="1205" w:name="Tc_xyVXDAPhYUeroZPKu-BE_w_10_0"/>
      <w:bookmarkStart w:id="1206" w:name="Tc_hI-zltRVOkGe5LVaK_NiYQ_9_20"/>
      <w:bookmarkStart w:id="1207" w:name="Tc_V-_lnfsbUkuAsrnGM53Y2w_9_17"/>
      <w:bookmarkStart w:id="1208" w:name="Tc_6t0UqKPaTU-I2MpeBKkaIw_9_14"/>
      <w:bookmarkStart w:id="1209" w:name="Tc_9jMEFG7itUOUqNEIqTuIFg_9_11"/>
      <w:bookmarkStart w:id="1210" w:name="Tc_2TcRKed1_0aGVq7UDe3btw_9_8"/>
      <w:bookmarkStart w:id="1211" w:name="Tc_EPkI0-0p9k-sWdN-4nUOrQ_9_5"/>
      <w:bookmarkStart w:id="1212" w:name="Tc_RntSdceZ20uo-mMpYIH8Iw_9_2"/>
      <w:bookmarkStart w:id="1213" w:name="Tc_gWPvbvHs10KGm3n7PRlfAA_9_0"/>
      <w:bookmarkStart w:id="1214" w:name="Tc_jtVTcTKNik2gCw-ABKsZiQ_8_0"/>
      <w:bookmarkStart w:id="1215" w:name="Tc_L1ml40dOekivxWUXdP0CMQ_7_20"/>
      <w:bookmarkStart w:id="1216" w:name="Tc_vRYACrpdkEuYpzxUDBqWtQ_7_18"/>
      <w:bookmarkStart w:id="1217" w:name="Tc_ogX0siPMO0m5MaLhzftoGw_7_17"/>
      <w:bookmarkStart w:id="1218" w:name="Tc_BvF5ZElQtUSCcLPp4eL2Fg_7_15"/>
      <w:bookmarkStart w:id="1219" w:name="Tc_sUKTkUXQFUieonsa6pguUw_7_14"/>
      <w:bookmarkStart w:id="1220" w:name="Tc_-E8trgPvJUG9wkJFYRQaXg_7_12"/>
      <w:bookmarkStart w:id="1221" w:name="Tc_mjb4sR8Y5kS1Ff83TW467w_7_11"/>
      <w:bookmarkStart w:id="1222" w:name="Tc_-Y2zswFtPk2G5LiZAcqvAA_7_9"/>
      <w:bookmarkStart w:id="1223" w:name="Tc_jW6bljpr0EisQcUj2o6UUg_7_8"/>
      <w:bookmarkStart w:id="1224" w:name="Tc_TVV3eGcpEEmEL07N-eSz8A_7_5"/>
      <w:bookmarkStart w:id="1225" w:name="Tc_-etkBNrKS0ObLbv-6iaI9A_7_2"/>
      <w:bookmarkStart w:id="1226" w:name="Tc_rWMLaK5zoE-_z1tTUV9rvw_7_0"/>
      <w:bookmarkStart w:id="1227" w:name="Tc_EMuozFmFDEe8btu7mYCuUA_6_0"/>
      <w:bookmarkStart w:id="1228" w:name="Tc_h0xuE2L2PEi43GpsOvWLuw_5_0"/>
      <w:bookmarkStart w:id="1229" w:name="Tc_Gs7jRdwN20S4zvr_JMOQIA_4_0"/>
      <w:bookmarkStart w:id="1230" w:name="Tc_8Gldj5SVJ0iSM6ruXc37iA_3_20"/>
      <w:bookmarkStart w:id="1231" w:name="Tc_eGs6e2NpKEaaBd2MBTsFDg_3_17"/>
      <w:bookmarkStart w:id="1232" w:name="Tc_YdI1CaRDf0CXOZ-kTIP_Tg_3_14"/>
      <w:bookmarkStart w:id="1233" w:name="Tc_WaMYPQgfLkeJkwI_72-O3g_3_11"/>
      <w:bookmarkStart w:id="1234" w:name="Tc_AeLGXCiMJEOPcrinMbmx-A_3_8"/>
      <w:bookmarkStart w:id="1235" w:name="Tc_a-8S4EP07UKCJlxugr901g_3_5"/>
      <w:bookmarkStart w:id="1236" w:name="Tc_JJqPo0peNk24aeIKayXBTw_3_2"/>
      <w:bookmarkStart w:id="1237" w:name="Tc_GOg-UWLBzEa0aDOLHRH2QQ_2_14"/>
      <w:bookmarkStart w:id="1238" w:name="Tc_a7lnbbkOfkOSYLResrvHEw_2_11"/>
      <w:bookmarkStart w:id="1239" w:name="Tc_i6rVuVmTsEis5_TNOlcHug_2_8"/>
      <w:bookmarkStart w:id="1240" w:name="Tc_3JZ3ZuKD0E6KBcG0KJEIGg_2_5"/>
      <w:bookmarkStart w:id="1241" w:name="Tc_tB64sZ_N3EiDx1niOsuPiA_2_2"/>
      <w:bookmarkStart w:id="1242" w:name="Tc_QYaDebYr60K5m65sBrn3sA_1_8"/>
      <w:bookmarkStart w:id="1243" w:name="Tc_UccqAmQp8US1bC6KvHl36g_1_2"/>
      <w:bookmarkStart w:id="1244" w:name="_99712641_73a0_4efd_9473_dc00446b1cba"/>
      <w:bookmarkStart w:id="1245" w:name="Tc_vVSylpT9QkSyuf3H84V0-Q_14_20"/>
      <w:bookmarkStart w:id="1246" w:name="Tc_Hkpr8tu26Ey4-0zoT5nSzg_14_17"/>
      <w:bookmarkStart w:id="1247" w:name="Tc_yqZigkZetEetT0qproZtzQ_14_14"/>
      <w:bookmarkStart w:id="1248" w:name="Tc_xiotKCPa40ylHYossK-cpQ_14_11"/>
      <w:bookmarkStart w:id="1249" w:name="Tc_ZlN6iLEEcUmdD9oPtV4ikQ_14_8"/>
      <w:bookmarkStart w:id="1250" w:name="Tc_fbj66BpUMki1jA_pGXwdzw_14_5"/>
      <w:bookmarkStart w:id="1251" w:name="Tc_DucP81SO7kSHwZO_6Wnr9g_14_2"/>
      <w:bookmarkStart w:id="1252" w:name="Tc_TJ8GUO1dGUW7V8HA1AByMA_14_0"/>
      <w:bookmarkStart w:id="1253" w:name="Tc_v7ELBs6KPkCz6o6m1P34ag_13_0"/>
      <w:bookmarkStart w:id="1254" w:name="Tc_rzOtvsyvUkGEPgDCkr3PLw_12_20"/>
      <w:bookmarkStart w:id="1255" w:name="Tc_lZOoa3kIF0mqWSE3VJFAlg_12_18"/>
      <w:bookmarkStart w:id="1256" w:name="Tc_ybDZO0Qb4kCIXrsbVmvyXw_12_17"/>
      <w:bookmarkStart w:id="1257" w:name="Tc_VzpihsCR1UeWftsa94szzg_12_14"/>
      <w:bookmarkStart w:id="1258" w:name="Tc_g0Stc4ozHky3yoXoP_r2EQ_12_12"/>
      <w:bookmarkStart w:id="1259" w:name="Tc_gM-PVLGmcE20HNCpgJTEVQ_12_11"/>
      <w:bookmarkStart w:id="1260" w:name="Tc_UD3igdT7AE-mguQbe38Oyw_12_9"/>
      <w:bookmarkStart w:id="1261" w:name="Tc_A2z9R-a1y0uEnXRrnwLAoQ_12_8"/>
      <w:bookmarkStart w:id="1262" w:name="Tc__p8bWz2m7EKNe_A8BQX1TA_12_5"/>
      <w:bookmarkStart w:id="1263" w:name="Tc_RT7RBy3wM0WUkPVqDhVdpA_12_2"/>
      <w:bookmarkStart w:id="1264" w:name="Tc_7V8-0Lk4f0SX8mJJ1O1Mvw_12_0"/>
      <w:bookmarkStart w:id="1265" w:name="Tc_WwBgJjLM9kuMjd-1DXX0CA_11_0"/>
      <w:bookmarkStart w:id="1266" w:name="Tc_SgyLEGMmiU6hqX-yejwx2A_10_0"/>
      <w:bookmarkStart w:id="1267" w:name="Tc_8HTy1xt33EmLRuh_qNASFQ_9_20"/>
      <w:bookmarkStart w:id="1268" w:name="Tc_c0RrFuinOEmWD5GRrtCN6A_9_17"/>
      <w:bookmarkStart w:id="1269" w:name="Tc_Z8MbiUpv9kK0WNE_MXCgHw_9_14"/>
      <w:bookmarkStart w:id="1270" w:name="Tc_lP3KZSQ0tkSkDqO9F-CMIg_9_11"/>
      <w:bookmarkStart w:id="1271" w:name="Tc_1zNQwm2flEGYNwnqRlrwTQ_9_8"/>
      <w:bookmarkStart w:id="1272" w:name="Tc_F_s7HQ4IG0m9jJtGqqOuVw_9_5"/>
      <w:bookmarkStart w:id="1273" w:name="Tc_WJfBR_zuMk21Hy9qfXhO5Q_9_2"/>
      <w:bookmarkStart w:id="1274" w:name="Tc_s02W7VQ_O0maAB3Wy0HHqg_9_0"/>
      <w:bookmarkStart w:id="1275" w:name="Tc_Wq7QQkW060KFX6Vt52EBUQ_8_0"/>
      <w:bookmarkStart w:id="1276" w:name="Tc_4TYnB0cPl026ztZz-0q1vA_7_20"/>
      <w:bookmarkStart w:id="1277" w:name="Tc_8rc3HE3ZaUGY7JPGtfh8vw_7_18"/>
      <w:bookmarkStart w:id="1278" w:name="Tc_BaWufcqSS0Opeb5oZtM0_A_7_17"/>
      <w:bookmarkStart w:id="1279" w:name="Tc_OLzYlhqEZUm78R9t21xHPg_7_14"/>
      <w:bookmarkStart w:id="1280" w:name="Tc_V05aPZG7MUC27192czyxEQ_7_12"/>
      <w:bookmarkStart w:id="1281" w:name="Tc_UW5GiREZDkSxWN4ffcaaGw_7_11"/>
      <w:bookmarkStart w:id="1282" w:name="Tc_XoPHShtpdk6sI3V0EPVFyQ_7_9"/>
      <w:bookmarkStart w:id="1283" w:name="Tc_lufdBzeZRkGWuCHz0VTyQw_7_8"/>
      <w:bookmarkStart w:id="1284" w:name="Tc_tPvnvvLhAUOKle7unf3E2A_7_5"/>
      <w:bookmarkStart w:id="1285" w:name="Tc_ZWs2ZN86Y02Iq2z7XKhUiw_7_2"/>
      <w:bookmarkStart w:id="1286" w:name="Tc_XcVXwUDXKEqhVmFmryXKNQ_7_0"/>
      <w:bookmarkStart w:id="1287" w:name="Tc_1uArsGAi20-jjyLn07MwSg_6_0"/>
      <w:bookmarkStart w:id="1288" w:name="Tc_YrhF4inU-k--bW2kDH0b0Q_5_0"/>
      <w:bookmarkStart w:id="1289" w:name="Tc_NhyOucc4ukGOplXjNZ24dQ_4_0"/>
      <w:bookmarkStart w:id="1290" w:name="Tc_OxnKlBi89kKhVtighcGO0w_3_20"/>
      <w:bookmarkStart w:id="1291" w:name="Tc_f0m417dKIUaB1mbsCfCUqA_3_17"/>
      <w:bookmarkStart w:id="1292" w:name="Tc_PMqMbi3M5kaMQvBW7DHcdQ_3_14"/>
      <w:bookmarkStart w:id="1293" w:name="Tc_vqOLFS9OmE2X1Zl_fWRh1A_3_11"/>
      <w:bookmarkStart w:id="1294" w:name="Tc_dJ29-Loq0UaXuHz9QqWIag_3_8"/>
      <w:bookmarkStart w:id="1295" w:name="Tc_YZowP43JikCSNrtfvjtthQ_3_5"/>
      <w:bookmarkStart w:id="1296" w:name="Tc_FisimbEX4UqiDHtq8CuGUQ_3_2"/>
      <w:bookmarkStart w:id="1297" w:name="Tc_hMXQmZDiOkG4rJzt0Fu7dw_2_14"/>
      <w:bookmarkStart w:id="1298" w:name="Tc_kZBphglURECLDQomoB76cA_2_11"/>
      <w:bookmarkStart w:id="1299" w:name="Tc_b5ErIT9JtkCF6YTre5CHwg_2_8"/>
      <w:bookmarkStart w:id="1300" w:name="Tc_W4_Aa67pNEeTc3us8FsBTg_2_5"/>
      <w:bookmarkStart w:id="1301" w:name="Tc_4U9CY6Mkqk235LuZHuOxYA_2_2"/>
      <w:bookmarkStart w:id="1302" w:name="Tc_WRHSF0887EayfydKTCpwEA_1_8"/>
      <w:bookmarkStart w:id="1303" w:name="Tc_9NWGiqL0jUWj-UxiGHHNyA_1_2"/>
      <w:bookmarkStart w:id="1304" w:name="_6296fa92_02b8_4927_b076_11d9d2a591cd"/>
      <w:bookmarkStart w:id="1305" w:name="Tc_kizu4xsX9kGyWygc5_L2jw_10_20"/>
      <w:bookmarkStart w:id="1306" w:name="Tc_4cpRYkKgp0qnBJbxRtk0Ug_10_17"/>
      <w:bookmarkStart w:id="1307" w:name="Tc_8qWZt-ijskWH7oCyRaeeLQ_10_14"/>
      <w:bookmarkStart w:id="1308" w:name="Tc_y0PniGQTf0Wx5E0vH-9JBg_10_11"/>
      <w:bookmarkStart w:id="1309" w:name="Tc_hLorcN7jqkGwDBwir6m_KA_10_8"/>
      <w:bookmarkStart w:id="1310" w:name="Tc_vAJExooLJUGeQU3-Lhhx0g_10_5"/>
      <w:bookmarkStart w:id="1311" w:name="Tc_kPuF2dmHk0WO2XWMC7cGtQ_10_2"/>
      <w:bookmarkStart w:id="1312" w:name="Tc_5wuKGbWMXkC7N5nZZawPHg_10_0"/>
      <w:bookmarkStart w:id="1313" w:name="Tc_AJNLGr9y_Ee3McFjrF1jfg_9_15"/>
      <w:bookmarkStart w:id="1314" w:name="Tc_iUHJbuf69ku2Br_UffgZfw_9_12"/>
      <w:bookmarkStart w:id="1315" w:name="Tc_rOwf979efU62ymylptg-0w_9_9"/>
      <w:bookmarkStart w:id="1316" w:name="Tc_uqOW72r2hkaRXow4i0KImg_9_6"/>
      <w:bookmarkStart w:id="1317" w:name="Tc_-cEelEdclEmh2ZECrbqNLg_9_0"/>
      <w:bookmarkStart w:id="1318" w:name="Tc_FYsxlhHFdUuVp_O_MwmlqA_8_15"/>
      <w:bookmarkStart w:id="1319" w:name="Tc_dtErpISuXkWGlJ2ZCfXWYA_8_12"/>
      <w:bookmarkStart w:id="1320" w:name="Tc_cGlO1J-JNEuKCpv4Dlqbaw_8_9"/>
      <w:bookmarkStart w:id="1321" w:name="Tc_uFsrLpf6Tkm1T47in_bvWg_8_6"/>
      <w:bookmarkStart w:id="1322" w:name="Tc_qxSGFUGFzUC2LoK4Iiq28A_8_0"/>
      <w:bookmarkStart w:id="1323" w:name="Tc_p6HOBGyKe0Ko6QJX46Gn-w_7_0"/>
      <w:bookmarkStart w:id="1324" w:name="Tc_0CCLDUm1kU-w0hCj2lkpVA_6_20"/>
      <w:bookmarkStart w:id="1325" w:name="Tc_Rje0s6sxfke_5a-QYRQ5kA_6_17"/>
      <w:bookmarkStart w:id="1326" w:name="Tc_DwT11K6J4ECJ3FL3RDGFRg_6_14"/>
      <w:bookmarkStart w:id="1327" w:name="Tc_vSjIegfJi0S_bqCmxwpzgA_6_11"/>
      <w:bookmarkStart w:id="1328" w:name="Tc_ImRQYS7JHUOK5s-v1kvI_Q_6_8"/>
      <w:bookmarkStart w:id="1329" w:name="Tc_8jl4mPM5e0i3lqceT78tOA_6_5"/>
      <w:bookmarkStart w:id="1330" w:name="Tc_K4zqcBHXPkaJbNBO3vZmtg_6_2"/>
      <w:bookmarkStart w:id="1331" w:name="Tc_Q1alCJ5J1EWpacejg2Jymg_6_0"/>
      <w:bookmarkStart w:id="1332" w:name="Tc_MKUhrWrEIkCdfmu5egQXOA_5_0"/>
      <w:bookmarkStart w:id="1333" w:name="Tc_FQZAHB2vu0quWCGnLCQJyw_4_20"/>
      <w:bookmarkStart w:id="1334" w:name="Tc_bTF62rFv4Eu9l104IBcg1g_4_17"/>
      <w:bookmarkStart w:id="1335" w:name="Tc_QBtSCmu8xEO6mf73rPrOjg_4_14"/>
      <w:bookmarkStart w:id="1336" w:name="Tc__LtP9sxD6UG4zdz7MAKtyQ_4_11"/>
      <w:bookmarkStart w:id="1337" w:name="Tc_65CgFiuqnkC9XCJoKhCTQA_4_8"/>
      <w:bookmarkStart w:id="1338" w:name="Tc_KEZK6e-bE0mrA1vcldLEQw_4_5"/>
      <w:bookmarkStart w:id="1339" w:name="Tc_aVHbktho00KbPSoUN5toqg_4_2"/>
      <w:bookmarkStart w:id="1340" w:name="Tc_oMhjQuma10K_WZeTd1sjPA_3_14"/>
      <w:bookmarkStart w:id="1341" w:name="Tc_y1cvWnb-WE2wQIOM2PdifA_3_11"/>
      <w:bookmarkStart w:id="1342" w:name="Tc_N7cqs7nFDU69Ke5eojfivw_3_8"/>
      <w:bookmarkStart w:id="1343" w:name="Tc_ad-CwhYvVECe6QVb1URloQ_3_5"/>
      <w:bookmarkStart w:id="1344" w:name="Tc_Q363cOxT-Ui-wOAtkJUpxA_3_2"/>
      <w:bookmarkStart w:id="1345" w:name="Tc_k4FOvgbC0kWRKKVLvU079Q_2_8"/>
      <w:bookmarkStart w:id="1346" w:name="Tc_Q7qri97R1kGwsLLxTiLdnA_2_2"/>
      <w:bookmarkStart w:id="1347" w:name="Tc_eumqrJCD1kOKHWcXBrTXlw_1_2"/>
      <w:bookmarkStart w:id="1348" w:name="_b44a128a_97e9_4b70_af3a_306c8bbbf9e8"/>
      <w:bookmarkStart w:id="1349" w:name="Tc_PJ3aPOys7Uq0hlHk-9PEMA_10_20"/>
      <w:bookmarkStart w:id="1350" w:name="Tc_JngvJOmkL0W_RrSzVn1LVg_10_17"/>
      <w:bookmarkStart w:id="1351" w:name="Tc_QnL054Bg40ecxrwucGyIpg_10_14"/>
      <w:bookmarkStart w:id="1352" w:name="Tc_3M51AlaCXEaYoc4tS3sa1g_10_11"/>
      <w:bookmarkStart w:id="1353" w:name="Tc_FegR99Wq7UG03qEYCuvfmQ_10_8"/>
      <w:bookmarkStart w:id="1354" w:name="Tc_cTcXIpQqrkKi9kjoCHVIZw_10_5"/>
      <w:bookmarkStart w:id="1355" w:name="Tc_N20FWCBHbkmzSvOXvhPAhw_10_2"/>
      <w:bookmarkStart w:id="1356" w:name="Tc_8miEN9Apv0GahlGqKrYYfQ_10_0"/>
      <w:bookmarkStart w:id="1357" w:name="Tc_kTK_H8nG9EqlCpmEeoc2Cg_9_15"/>
      <w:bookmarkStart w:id="1358" w:name="Tc_WNfcFeZ-kUiKP32kIqS0XQ_9_12"/>
      <w:bookmarkStart w:id="1359" w:name="Tc_hoHruir1vE-qI86Zd2d-1A_9_9"/>
      <w:bookmarkStart w:id="1360" w:name="Tc_NiuWmewf8EaJiYQbiT9FWg_9_6"/>
      <w:bookmarkStart w:id="1361" w:name="Tc_6eWKszQvYkeG0cd-iCg79g_9_0"/>
      <w:bookmarkStart w:id="1362" w:name="Tc_NHryS5RN40exRfDeqjfzyg_8_15"/>
      <w:bookmarkStart w:id="1363" w:name="Tc_jhGOdsXmXkqN34gRzY5W8g_8_12"/>
      <w:bookmarkStart w:id="1364" w:name="Tc_mTwQAIeYwUmcUlXbKiNkgA_8_9"/>
      <w:bookmarkStart w:id="1365" w:name="Tc_GHkFXd1G7EWgWctSeE8DvA_8_6"/>
      <w:bookmarkStart w:id="1366" w:name="Tc_aVEnSheOg0CVsvFMsg97Lw_8_0"/>
      <w:bookmarkStart w:id="1367" w:name="Tc_U7-_iDyI3k25QbcqbQrBQg_7_15"/>
      <w:bookmarkStart w:id="1368" w:name="Tc_nB2pcTlvwk60ZoYoKQqIEg_7_0"/>
      <w:bookmarkStart w:id="1369" w:name="Tc_fSOsVoD-ckyD4Ax2HCpCDw_6_20"/>
      <w:bookmarkStart w:id="1370" w:name="Tc_ze0RDzJSR0qpbs5pJFJ-9Q_6_17"/>
      <w:bookmarkStart w:id="1371" w:name="Tc_BuZfNKKda0Gm1CbDqnQmfw_6_14"/>
      <w:bookmarkStart w:id="1372" w:name="Tc_O_jZ67QYJ0GcrC8R38pddA_6_11"/>
      <w:bookmarkStart w:id="1373" w:name="Tc_A1feaXHzbEWj_7ZOe3-1Kw_6_8"/>
      <w:bookmarkStart w:id="1374" w:name="Tc_30NXqoAxuk6vEb4oJsREFg_6_5"/>
      <w:bookmarkStart w:id="1375" w:name="Tc_-xa3WnOkhk2iZideBD00iA_6_2"/>
      <w:bookmarkStart w:id="1376" w:name="Tc_FQ_mJwB7GEWKGL6rP_9o1A_6_0"/>
      <w:bookmarkStart w:id="1377" w:name="Tc_q3UNdYEq3U-8PL29-TvVRQ_5_0"/>
      <w:bookmarkStart w:id="1378" w:name="Tc_--0vG0GAZkqHeGXie4t3dw_4_20"/>
      <w:bookmarkStart w:id="1379" w:name="Tc_Y-tP3FJ5kkuQDwzsTZ1eyA_4_17"/>
      <w:bookmarkStart w:id="1380" w:name="Tc_nRgxIIn9Y0KKrtSurkxYqg_4_14"/>
      <w:bookmarkStart w:id="1381" w:name="Tc_NC5uo5ZVBEKQ1aCDz3q3zg_4_11"/>
      <w:bookmarkStart w:id="1382" w:name="Tc_RdVw_yspu0KkhmuHW3SdNg_4_8"/>
      <w:bookmarkStart w:id="1383" w:name="Tc_X2s_3s9XHEakp1JN2thD6Q_4_5"/>
      <w:bookmarkStart w:id="1384" w:name="Tc_TAZCW2XnlkyctYJwmAlcng_4_2"/>
      <w:bookmarkStart w:id="1385" w:name="Tc_QJAavnI8kUqSdGVFavymvg_3_14"/>
      <w:bookmarkStart w:id="1386" w:name="Tc_OOdpTvuTYEmLQ9I2TGdNKA_3_11"/>
      <w:bookmarkStart w:id="1387" w:name="Tc_5pFT8RetC0etAhotnTZVHQ_3_8"/>
      <w:bookmarkStart w:id="1388" w:name="Tc_O3WpC7UAtkOVvWHAW1hWpw_3_5"/>
      <w:bookmarkStart w:id="1389" w:name="Tc_tRGqU6m_QEKmtmitG7USSg_3_2"/>
      <w:bookmarkStart w:id="1390" w:name="Tc_apips-WhHk-0ot61OU6Ixw_2_8"/>
      <w:bookmarkStart w:id="1391" w:name="Tc_ZVjYrXg3qUuQ2jQwWugFkg_2_2"/>
      <w:bookmarkStart w:id="1392" w:name="Tc_Unviov-TskOEv0EKOeKBBg_1_2"/>
      <w:bookmarkStart w:id="1393" w:name="_eb9f08d9_7605_473f_be72_6f2cdfd7ccd8"/>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r>
        <w:rPr/>
        <w:t>​</w:t>
      </w:r>
    </w:p>
    <w:p>
      <w:pPr>
        <w:pStyle w:val="TextBody"/>
        <w:bidi w:val="0"/>
        <w:spacing w:before="0" w:after="0"/>
        <w:ind w:left="0" w:right="0" w:hanging="0"/>
        <w:jc w:val="left"/>
        <w:rPr/>
      </w:pPr>
      <w:r>
        <w:rPr/>
        <w:t>​</w:t>
      </w:r>
    </w:p>
    <w:tbl>
      <w:tblPr>
        <w:tblW w:w="9616" w:type="dxa"/>
        <w:jc w:val="left"/>
        <w:tblInd w:w="0" w:type="dxa"/>
        <w:tblLayout w:type="fixed"/>
        <w:tblCellMar>
          <w:top w:w="0" w:type="dxa"/>
          <w:left w:w="0" w:type="dxa"/>
          <w:bottom w:w="0" w:type="dxa"/>
          <w:right w:w="0" w:type="dxa"/>
        </w:tblCellMar>
      </w:tblPr>
      <w:tblGrid>
        <w:gridCol w:w="2101"/>
        <w:gridCol w:w="346"/>
        <w:gridCol w:w="274"/>
        <w:gridCol w:w="717"/>
        <w:gridCol w:w="146"/>
        <w:gridCol w:w="243"/>
        <w:gridCol w:w="748"/>
        <w:gridCol w:w="146"/>
        <w:gridCol w:w="290"/>
        <w:gridCol w:w="761"/>
        <w:gridCol w:w="146"/>
        <w:gridCol w:w="257"/>
        <w:gridCol w:w="674"/>
        <w:gridCol w:w="146"/>
        <w:gridCol w:w="200"/>
        <w:gridCol w:w="386"/>
        <w:gridCol w:w="146"/>
        <w:gridCol w:w="288"/>
        <w:gridCol w:w="553"/>
        <w:gridCol w:w="146"/>
        <w:gridCol w:w="196"/>
        <w:gridCol w:w="70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4135" cy="175260"/>
                      <wp:effectExtent l="0" t="0" r="0" b="0"/>
                      <wp:wrapNone/>
                      <wp:docPr id="225" name="Frame225"/>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3990" cy="175260"/>
                      <wp:effectExtent l="0" t="0" r="0" b="0"/>
                      <wp:wrapNone/>
                      <wp:docPr id="227" name="Frame22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55295" cy="175260"/>
                      <wp:effectExtent l="0" t="0" r="0" b="0"/>
                      <wp:wrapNone/>
                      <wp:docPr id="228" name="Frame228"/>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92710" cy="175260"/>
                      <wp:effectExtent l="0" t="0" r="0" b="0"/>
                      <wp:wrapNone/>
                      <wp:docPr id="229" name="Frame2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4305" cy="175260"/>
                      <wp:effectExtent l="0" t="0" r="0" b="0"/>
                      <wp:wrapNone/>
                      <wp:docPr id="230" name="Frame23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74980" cy="175260"/>
                      <wp:effectExtent l="0" t="0" r="0" b="0"/>
                      <wp:wrapNone/>
                      <wp:docPr id="231" name="Frame231"/>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92710" cy="175260"/>
                      <wp:effectExtent l="0" t="0" r="0" b="0"/>
                      <wp:wrapNone/>
                      <wp:docPr id="232" name="Frame2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84150" cy="175260"/>
                      <wp:effectExtent l="0" t="0" r="0" b="0"/>
                      <wp:wrapNone/>
                      <wp:docPr id="233" name="Frame233"/>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83235" cy="175260"/>
                      <wp:effectExtent l="0" t="0" r="0" b="0"/>
                      <wp:wrapNone/>
                      <wp:docPr id="234" name="Frame23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92710" cy="175260"/>
                      <wp:effectExtent l="0" t="0" r="0" b="0"/>
                      <wp:wrapNone/>
                      <wp:docPr id="235" name="Frame23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3195" cy="175260"/>
                      <wp:effectExtent l="0" t="0" r="0" b="0"/>
                      <wp:wrapNone/>
                      <wp:docPr id="236" name="Frame23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27990" cy="175260"/>
                      <wp:effectExtent l="0" t="0" r="0" b="0"/>
                      <wp:wrapNone/>
                      <wp:docPr id="237" name="Frame237"/>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92710" cy="175260"/>
                      <wp:effectExtent l="0" t="0" r="0" b="0"/>
                      <wp:wrapNone/>
                      <wp:docPr id="238" name="Frame23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7000" cy="175260"/>
                      <wp:effectExtent l="0" t="0" r="0" b="0"/>
                      <wp:wrapNone/>
                      <wp:docPr id="239" name="Frame239"/>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45110" cy="175260"/>
                      <wp:effectExtent l="0" t="0" r="0" b="0"/>
                      <wp:wrapNone/>
                      <wp:docPr id="240" name="Frame24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92710" cy="175260"/>
                      <wp:effectExtent l="0" t="0" r="0" b="0"/>
                      <wp:wrapNone/>
                      <wp:docPr id="241" name="Frame2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82880" cy="175260"/>
                      <wp:effectExtent l="0" t="0" r="0" b="0"/>
                      <wp:wrapNone/>
                      <wp:docPr id="242" name="Frame242"/>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51155" cy="175260"/>
                      <wp:effectExtent l="0" t="0" r="0" b="0"/>
                      <wp:wrapNone/>
                      <wp:docPr id="243" name="Frame243"/>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92710" cy="175260"/>
                      <wp:effectExtent l="0" t="0" r="0" b="0"/>
                      <wp:wrapNone/>
                      <wp:docPr id="244" name="Frame24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24460" cy="175260"/>
                      <wp:effectExtent l="0" t="0" r="0" b="0"/>
                      <wp:wrapNone/>
                      <wp:docPr id="245" name="Frame2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48310" cy="175260"/>
                      <wp:effectExtent l="0" t="0" r="0" b="0"/>
                      <wp:wrapNone/>
                      <wp:docPr id="246" name="Frame24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169"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146" w:type="dxa"/>
            <w:tcBorders/>
            <w:vAlign w:val="center"/>
          </w:tcPr>
          <w:p>
            <w:pPr>
              <w:pStyle w:val="TableContents"/>
              <w:bidi w:val="0"/>
              <w:spacing w:before="0" w:after="0"/>
              <w:ind w:left="0" w:right="0" w:hanging="0"/>
              <w:jc w:val="center"/>
              <w:rPr/>
            </w:pPr>
            <w:r>
              <w:rPr/>
              <w:t>​</w:t>
            </w:r>
          </w:p>
        </w:tc>
        <w:tc>
          <w:tcPr>
            <w:tcW w:w="243" w:type="dxa"/>
            <w:tcBorders/>
            <w:vAlign w:val="center"/>
          </w:tcPr>
          <w:p>
            <w:pPr>
              <w:pStyle w:val="TableContents"/>
              <w:bidi w:val="0"/>
              <w:spacing w:before="0" w:after="0"/>
              <w:ind w:left="0" w:right="0" w:hanging="0"/>
              <w:jc w:val="center"/>
              <w:rPr/>
            </w:pPr>
            <w:r>
              <w:rPr/>
              <w:t>​</w:t>
            </w:r>
          </w:p>
        </w:tc>
        <w:tc>
          <w:tcPr>
            <w:tcW w:w="74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146" w:type="dxa"/>
            <w:tcBorders/>
            <w:vAlign w:val="center"/>
          </w:tcPr>
          <w:p>
            <w:pPr>
              <w:pStyle w:val="TableContents"/>
              <w:bidi w:val="0"/>
              <w:spacing w:before="0" w:after="0"/>
              <w:ind w:left="0" w:right="0" w:hanging="0"/>
              <w:jc w:val="center"/>
              <w:rPr/>
            </w:pPr>
            <w:r>
              <w:rPr/>
              <w:t>​</w:t>
            </w:r>
          </w:p>
        </w:tc>
        <w:tc>
          <w:tcPr>
            <w:tcW w:w="257"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center"/>
              <w:rPr/>
            </w:pPr>
            <w:r>
              <w:rPr/>
              <w:t>​</w:t>
            </w:r>
          </w:p>
        </w:tc>
        <w:tc>
          <w:tcPr>
            <w:tcW w:w="55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1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14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14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46" w:type="dxa"/>
            <w:tcBorders/>
            <w:vAlign w:val="center"/>
          </w:tcPr>
          <w:p>
            <w:pPr>
              <w:pStyle w:val="TableContents"/>
              <w:bidi w:val="0"/>
              <w:spacing w:before="0" w:after="0"/>
              <w:ind w:left="0" w:right="0" w:hanging="0"/>
              <w:jc w:val="center"/>
              <w:rPr/>
            </w:pPr>
            <w:r>
              <w:rPr/>
              <w:t>​</w:t>
            </w:r>
          </w:p>
        </w:tc>
        <w:tc>
          <w:tcPr>
            <w:tcW w:w="5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Home</w:t>
            </w:r>
          </w:p>
        </w:tc>
        <w:tc>
          <w:tcPr>
            <w:tcW w:w="146" w:type="dxa"/>
            <w:tcBorders/>
            <w:vAlign w:val="center"/>
          </w:tcPr>
          <w:p>
            <w:pPr>
              <w:pStyle w:val="TableContents"/>
              <w:bidi w:val="0"/>
              <w:spacing w:before="0" w:after="0"/>
              <w:ind w:left="0" w:right="0" w:hanging="0"/>
              <w:jc w:val="center"/>
              <w:rPr/>
            </w:pPr>
            <w:r>
              <w:rPr/>
              <w:t>​</w:t>
            </w:r>
          </w:p>
        </w:tc>
        <w:tc>
          <w:tcPr>
            <w:tcW w:w="288" w:type="dxa"/>
            <w:tcBorders/>
            <w:vAlign w:val="center"/>
          </w:tcPr>
          <w:p>
            <w:pPr>
              <w:pStyle w:val="TableContents"/>
              <w:bidi w:val="0"/>
              <w:spacing w:before="0" w:after="0"/>
              <w:ind w:left="0" w:right="0" w:hanging="0"/>
              <w:jc w:val="left"/>
              <w:rPr/>
            </w:pPr>
            <w:r>
              <w:rPr/>
              <w:t>​</w:t>
            </w:r>
          </w:p>
        </w:tc>
        <w:tc>
          <w:tcPr>
            <w:tcW w:w="553"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146"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146"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46"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146" w:type="dxa"/>
            <w:tcBorders/>
            <w:vAlign w:val="center"/>
          </w:tcPr>
          <w:p>
            <w:pPr>
              <w:pStyle w:val="TableContents"/>
              <w:bidi w:val="0"/>
              <w:spacing w:before="0" w:after="0"/>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46"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1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Allowance for credit losses:</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88"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  ​</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3,809</w:t>
            </w:r>
          </w:p>
        </w:tc>
        <w:tc>
          <w:tcPr>
            <w:tcW w:w="1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19,295</w:t>
            </w:r>
          </w:p>
        </w:tc>
        <w:tc>
          <w:tcPr>
            <w:tcW w:w="1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1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1,642</w:t>
            </w:r>
          </w:p>
        </w:tc>
        <w:tc>
          <w:tcPr>
            <w:tcW w:w="1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w:t>
            </w:r>
          </w:p>
        </w:tc>
        <w:tc>
          <w:tcPr>
            <w:tcW w:w="1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26,373</w:t>
            </w:r>
          </w:p>
        </w:tc>
      </w:tr>
      <w:tr>
        <w:trPr/>
        <w:tc>
          <w:tcPr>
            <w:tcW w:w="21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r>
              <w:rPr>
                <w:rFonts w:ascii="Times New Roman;Times;serif" w:hAnsi="Times New Roman;Times;serif"/>
                <w:sz w:val="14"/>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1,400</w:t>
            </w:r>
          </w:p>
        </w:tc>
        <w:tc>
          <w:tcPr>
            <w:tcW w:w="1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858</w:t>
            </w:r>
          </w:p>
        </w:tc>
        <w:tc>
          <w:tcPr>
            <w:tcW w:w="1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1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1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2,215</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color w:val="231F20"/>
                <w:sz w:val="18"/>
              </w:rPr>
            </w:pPr>
            <w:r>
              <w:rPr>
                <w:rFonts w:ascii="Times New Roman;Times;serif" w:hAnsi="Times New Roman;Times;serif"/>
                <w:color w:val="231F20"/>
                <w:sz w:val="18"/>
              </w:rPr>
              <w:t>Charge-offs</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1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Recoveries</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46" w:type="dxa"/>
            <w:tcBorders/>
            <w:shd w:fill="CCEEFF" w:val="clear"/>
            <w:vAlign w:val="center"/>
          </w:tcPr>
          <w:p>
            <w:pPr>
              <w:pStyle w:val="TableContents"/>
              <w:bidi w:val="0"/>
              <w:spacing w:before="0" w:after="0"/>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Ending balance</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5,025</w:t>
            </w:r>
          </w:p>
        </w:tc>
        <w:tc>
          <w:tcPr>
            <w:tcW w:w="146" w:type="dxa"/>
            <w:tcBorders/>
            <w:vAlign w:val="center"/>
          </w:tcPr>
          <w:p>
            <w:pPr>
              <w:pStyle w:val="TableContents"/>
              <w:bidi w:val="0"/>
              <w:spacing w:before="0" w:after="0"/>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20,153</w:t>
            </w:r>
          </w:p>
        </w:tc>
        <w:tc>
          <w:tcPr>
            <w:tcW w:w="1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1,017</w:t>
            </w:r>
          </w:p>
        </w:tc>
        <w:tc>
          <w:tcPr>
            <w:tcW w:w="1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1,615</w:t>
            </w:r>
          </w:p>
        </w:tc>
        <w:tc>
          <w:tcPr>
            <w:tcW w:w="146"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w:t>
            </w:r>
          </w:p>
        </w:tc>
        <w:tc>
          <w:tcPr>
            <w:tcW w:w="14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28,408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The provision for credit losses on the income statement also includes approximately ($102) associated with off balance sheet ACL.</w:t>
      </w:r>
    </w:p>
    <w:p>
      <w:pPr>
        <w:pStyle w:val="TextBody"/>
        <w:bidi w:val="0"/>
        <w:spacing w:before="0" w:after="240"/>
        <w:ind w:left="0" w:right="0" w:hanging="0"/>
        <w:jc w:val="left"/>
        <w:rPr/>
      </w:pPr>
      <w:r>
        <w:rPr/>
        <w:t>​</w:t>
      </w:r>
    </w:p>
    <w:tbl>
      <w:tblPr>
        <w:tblW w:w="9394" w:type="dxa"/>
        <w:jc w:val="left"/>
        <w:tblInd w:w="0" w:type="dxa"/>
        <w:tblLayout w:type="fixed"/>
        <w:tblCellMar>
          <w:top w:w="0" w:type="dxa"/>
          <w:left w:w="0" w:type="dxa"/>
          <w:bottom w:w="0" w:type="dxa"/>
          <w:right w:w="0" w:type="dxa"/>
        </w:tblCellMar>
      </w:tblPr>
      <w:tblGrid>
        <w:gridCol w:w="2101"/>
        <w:gridCol w:w="346"/>
        <w:gridCol w:w="274"/>
        <w:gridCol w:w="717"/>
        <w:gridCol w:w="109"/>
        <w:gridCol w:w="243"/>
        <w:gridCol w:w="748"/>
        <w:gridCol w:w="109"/>
        <w:gridCol w:w="290"/>
        <w:gridCol w:w="761"/>
        <w:gridCol w:w="109"/>
        <w:gridCol w:w="257"/>
        <w:gridCol w:w="674"/>
        <w:gridCol w:w="109"/>
        <w:gridCol w:w="200"/>
        <w:gridCol w:w="386"/>
        <w:gridCol w:w="109"/>
        <w:gridCol w:w="260"/>
        <w:gridCol w:w="581"/>
        <w:gridCol w:w="109"/>
        <w:gridCol w:w="196"/>
        <w:gridCol w:w="70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4135" cy="175260"/>
                      <wp:effectExtent l="0" t="0" r="0" b="0"/>
                      <wp:wrapNone/>
                      <wp:docPr id="247" name="Frame247"/>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73990" cy="175260"/>
                      <wp:effectExtent l="0" t="0" r="0" b="0"/>
                      <wp:wrapNone/>
                      <wp:docPr id="249" name="Frame24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55295" cy="175260"/>
                      <wp:effectExtent l="0" t="0" r="0" b="0"/>
                      <wp:wrapNone/>
                      <wp:docPr id="250" name="Frame250"/>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54305" cy="175260"/>
                      <wp:effectExtent l="0" t="0" r="0" b="0"/>
                      <wp:wrapNone/>
                      <wp:docPr id="252" name="Frame252"/>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74980" cy="175260"/>
                      <wp:effectExtent l="0" t="0" r="0" b="0"/>
                      <wp:wrapNone/>
                      <wp:docPr id="253" name="Frame253"/>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84150" cy="175260"/>
                      <wp:effectExtent l="0" t="0" r="0" b="0"/>
                      <wp:wrapNone/>
                      <wp:docPr id="255" name="Frame25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83235" cy="175260"/>
                      <wp:effectExtent l="0" t="0" r="0" b="0"/>
                      <wp:wrapNone/>
                      <wp:docPr id="256" name="Frame256"/>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3195" cy="175260"/>
                      <wp:effectExtent l="0" t="0" r="0" b="0"/>
                      <wp:wrapNone/>
                      <wp:docPr id="258" name="Frame25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27990" cy="175260"/>
                      <wp:effectExtent l="0" t="0" r="0" b="0"/>
                      <wp:wrapNone/>
                      <wp:docPr id="259" name="Frame259"/>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27000" cy="175260"/>
                      <wp:effectExtent l="0" t="0" r="0" b="0"/>
                      <wp:wrapNone/>
                      <wp:docPr id="261" name="Frame261"/>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45110" cy="175260"/>
                      <wp:effectExtent l="0" t="0" r="0" b="0"/>
                      <wp:wrapNone/>
                      <wp:docPr id="262" name="Frame26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65100" cy="175260"/>
                      <wp:effectExtent l="0" t="0" r="0" b="0"/>
                      <wp:wrapNone/>
                      <wp:docPr id="264" name="Frame26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68935" cy="175260"/>
                      <wp:effectExtent l="0" t="0" r="0" b="0"/>
                      <wp:wrapNone/>
                      <wp:docPr id="265" name="Frame265"/>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4460" cy="175260"/>
                      <wp:effectExtent l="0" t="0" r="0" b="0"/>
                      <wp:wrapNone/>
                      <wp:docPr id="267" name="Frame2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48310" cy="175260"/>
                      <wp:effectExtent l="0" t="0" r="0" b="0"/>
                      <wp:wrapNone/>
                      <wp:docPr id="268" name="Frame26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947"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109" w:type="dxa"/>
            <w:tcBorders/>
            <w:vAlign w:val="center"/>
          </w:tcPr>
          <w:p>
            <w:pPr>
              <w:pStyle w:val="TableContents"/>
              <w:bidi w:val="0"/>
              <w:spacing w:before="0" w:after="1"/>
              <w:ind w:left="0" w:right="0" w:hanging="0"/>
              <w:jc w:val="center"/>
              <w:rPr/>
            </w:pPr>
            <w:r>
              <w:rPr/>
              <w:t>​</w:t>
            </w:r>
          </w:p>
        </w:tc>
        <w:tc>
          <w:tcPr>
            <w:tcW w:w="243"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109" w:type="dxa"/>
            <w:tcBorders/>
            <w:vAlign w:val="center"/>
          </w:tcPr>
          <w:p>
            <w:pPr>
              <w:pStyle w:val="TableContents"/>
              <w:bidi w:val="0"/>
              <w:spacing w:before="0" w:after="1"/>
              <w:ind w:left="0" w:right="0" w:hanging="0"/>
              <w:jc w:val="center"/>
              <w:rPr/>
            </w:pPr>
            <w:r>
              <w:rPr/>
              <w:t>​</w:t>
            </w:r>
          </w:p>
        </w:tc>
        <w:tc>
          <w:tcPr>
            <w:tcW w:w="257" w:type="dxa"/>
            <w:tcBorders/>
            <w:vAlign w:val="center"/>
          </w:tcPr>
          <w:p>
            <w:pPr>
              <w:pStyle w:val="TableContents"/>
              <w:bidi w:val="0"/>
              <w:spacing w:before="0" w:after="1"/>
              <w:ind w:left="0" w:right="0" w:hanging="0"/>
              <w:jc w:val="left"/>
              <w:rPr/>
            </w:pPr>
            <w:r>
              <w:rPr/>
              <w:t>​</w:t>
            </w:r>
          </w:p>
        </w:tc>
        <w:tc>
          <w:tcPr>
            <w:tcW w:w="67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00"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60" w:type="dxa"/>
            <w:tcBorders/>
            <w:vAlign w:val="center"/>
          </w:tcPr>
          <w:p>
            <w:pPr>
              <w:pStyle w:val="TableContents"/>
              <w:bidi w:val="0"/>
              <w:spacing w:before="0" w:after="1"/>
              <w:ind w:left="0" w:right="0" w:hanging="0"/>
              <w:jc w:val="left"/>
              <w:rPr/>
            </w:pPr>
            <w:r>
              <w:rPr/>
              <w:t>​</w:t>
            </w:r>
          </w:p>
        </w:tc>
        <w:tc>
          <w:tcPr>
            <w:tcW w:w="5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21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109"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1"/>
              <w:ind w:left="0" w:right="0" w:hanging="0"/>
              <w:jc w:val="center"/>
              <w:rPr/>
            </w:pPr>
            <w:r>
              <w:rPr/>
              <w:t>​</w:t>
            </w:r>
          </w:p>
        </w:tc>
        <w:tc>
          <w:tcPr>
            <w:tcW w:w="5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Home</w:t>
            </w:r>
          </w:p>
        </w:tc>
        <w:tc>
          <w:tcPr>
            <w:tcW w:w="109" w:type="dxa"/>
            <w:tcBorders/>
            <w:vAlign w:val="center"/>
          </w:tcPr>
          <w:p>
            <w:pPr>
              <w:pStyle w:val="TableContents"/>
              <w:bidi w:val="0"/>
              <w:spacing w:before="0" w:after="1"/>
              <w:ind w:left="0" w:right="0" w:hanging="0"/>
              <w:jc w:val="center"/>
              <w:rPr/>
            </w:pPr>
            <w:r>
              <w:rPr/>
              <w:t>​</w:t>
            </w:r>
          </w:p>
        </w:tc>
        <w:tc>
          <w:tcPr>
            <w:tcW w:w="260" w:type="dxa"/>
            <w:tcBorders/>
            <w:vAlign w:val="center"/>
          </w:tcPr>
          <w:p>
            <w:pPr>
              <w:pStyle w:val="TableContents"/>
              <w:bidi w:val="0"/>
              <w:spacing w:before="0" w:after="1"/>
              <w:ind w:left="0" w:right="0" w:hanging="0"/>
              <w:jc w:val="left"/>
              <w:rPr/>
            </w:pPr>
            <w:r>
              <w:rPr/>
              <w:t>​</w:t>
            </w:r>
          </w:p>
        </w:tc>
        <w:tc>
          <w:tcPr>
            <w:tcW w:w="5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21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109" w:type="dxa"/>
            <w:tcBorders/>
            <w:vAlign w:val="center"/>
          </w:tcPr>
          <w:p>
            <w:pPr>
              <w:pStyle w:val="TableContents"/>
              <w:bidi w:val="0"/>
              <w:spacing w:before="0" w:after="1"/>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109"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109" w:type="dxa"/>
            <w:tcBorders/>
            <w:vAlign w:val="center"/>
          </w:tcPr>
          <w:p>
            <w:pPr>
              <w:pStyle w:val="TableContents"/>
              <w:bidi w:val="0"/>
              <w:spacing w:before="0" w:after="1"/>
              <w:ind w:left="0" w:right="0" w:hanging="0"/>
              <w:jc w:val="center"/>
              <w:rPr/>
            </w:pPr>
            <w:r>
              <w:rPr/>
              <w:t>​</w:t>
            </w:r>
          </w:p>
        </w:tc>
        <w:tc>
          <w:tcPr>
            <w:tcW w:w="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Allowance for credit losses: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74" w:type="dxa"/>
            <w:tcBorders/>
            <w:shd w:fill="CCEEFF" w:val="clear"/>
            <w:vAlign w:val="center"/>
          </w:tcPr>
          <w:p>
            <w:pPr>
              <w:pStyle w:val="TableContents"/>
              <w:bidi w:val="0"/>
              <w:spacing w:before="0" w:after="1"/>
              <w:ind w:left="0" w:right="0" w:hanging="0"/>
              <w:jc w:val="left"/>
              <w:rPr/>
            </w:pPr>
            <w:r>
              <w:rPr/>
              <w:t>​</w:t>
            </w:r>
          </w:p>
        </w:tc>
        <w:tc>
          <w:tcPr>
            <w:tcW w:w="71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67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0"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17"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4,501</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19,227</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755</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674"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962</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0"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386"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56</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58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576</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26,077</w:t>
            </w:r>
          </w:p>
        </w:tc>
      </w:tr>
      <w:tr>
        <w:trPr/>
        <w:tc>
          <w:tcPr>
            <w:tcW w:w="210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color w:val="231F20"/>
                <w:sz w:val="18"/>
              </w:rPr>
              <w:t>Provision for credit losses</w:t>
            </w:r>
            <w:r>
              <w:rPr>
                <w:rFonts w:ascii="Times New Roman;Times;serif" w:hAnsi="Times New Roman;Times;serif"/>
                <w:color w:val="231F20"/>
                <w:sz w:val="14"/>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74"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1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700</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926</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90"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262</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653</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0"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38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126</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60"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58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(188)</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2,479</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Charge-offs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74" w:type="dxa"/>
            <w:tcBorders/>
            <w:vAlign w:val="center"/>
          </w:tcPr>
          <w:p>
            <w:pPr>
              <w:pStyle w:val="TableContents"/>
              <w:bidi w:val="0"/>
              <w:spacing w:before="0" w:after="1"/>
              <w:ind w:left="0" w:right="0" w:hanging="0"/>
              <w:jc w:val="left"/>
              <w:rPr>
                <w:color w:val="231F20"/>
              </w:rPr>
            </w:pPr>
            <w:r>
              <w:rPr>
                <w:color w:val="231F20"/>
              </w:rPr>
              <w:t> </w:t>
            </w:r>
          </w:p>
        </w:tc>
        <w:tc>
          <w:tcPr>
            <w:tcW w:w="717"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(197)</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8"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90" w:type="dxa"/>
            <w:tcBorders/>
            <w:vAlign w:val="center"/>
          </w:tcPr>
          <w:p>
            <w:pPr>
              <w:pStyle w:val="TableContents"/>
              <w:bidi w:val="0"/>
              <w:spacing w:before="0" w:after="1"/>
              <w:ind w:left="0" w:right="0" w:hanging="0"/>
              <w:jc w:val="left"/>
              <w:rPr>
                <w:color w:val="231F20"/>
              </w:rPr>
            </w:pPr>
            <w:r>
              <w:rPr>
                <w:color w:val="231F20"/>
              </w:rPr>
              <w:t>​</w:t>
            </w:r>
          </w:p>
        </w:tc>
        <w:tc>
          <w:tcPr>
            <w:tcW w:w="761"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57" w:type="dxa"/>
            <w:tcBorders/>
            <w:vAlign w:val="center"/>
          </w:tcPr>
          <w:p>
            <w:pPr>
              <w:pStyle w:val="TableContents"/>
              <w:bidi w:val="0"/>
              <w:spacing w:before="0" w:after="1"/>
              <w:ind w:left="0" w:right="0" w:hanging="0"/>
              <w:jc w:val="left"/>
              <w:rPr>
                <w:color w:val="231F20"/>
              </w:rPr>
            </w:pPr>
            <w:r>
              <w:rPr>
                <w:color w:val="231F20"/>
              </w:rPr>
              <w:t> </w:t>
            </w:r>
          </w:p>
        </w:tc>
        <w:tc>
          <w:tcPr>
            <w:tcW w:w="674"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0" w:type="dxa"/>
            <w:tcBorders/>
            <w:vAlign w:val="center"/>
          </w:tcPr>
          <w:p>
            <w:pPr>
              <w:pStyle w:val="TableContents"/>
              <w:bidi w:val="0"/>
              <w:spacing w:before="0" w:after="1"/>
              <w:ind w:left="0" w:right="0" w:hanging="0"/>
              <w:jc w:val="left"/>
              <w:rPr>
                <w:color w:val="231F20"/>
              </w:rPr>
            </w:pPr>
            <w:r>
              <w:rPr>
                <w:color w:val="231F20"/>
              </w:rPr>
              <w:t> </w:t>
            </w:r>
          </w:p>
        </w:tc>
        <w:tc>
          <w:tcPr>
            <w:tcW w:w="386"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60" w:type="dxa"/>
            <w:tcBorders/>
            <w:vAlign w:val="center"/>
          </w:tcPr>
          <w:p>
            <w:pPr>
              <w:pStyle w:val="TableContents"/>
              <w:bidi w:val="0"/>
              <w:spacing w:before="0" w:after="1"/>
              <w:ind w:left="0" w:right="0" w:hanging="0"/>
              <w:jc w:val="left"/>
              <w:rPr>
                <w:color w:val="231F20"/>
              </w:rPr>
            </w:pPr>
            <w:r>
              <w:rPr>
                <w:color w:val="231F20"/>
              </w:rPr>
              <w:t> </w:t>
            </w:r>
          </w:p>
        </w:tc>
        <w:tc>
          <w:tcPr>
            <w:tcW w:w="58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(200)</w:t>
            </w:r>
          </w:p>
        </w:tc>
      </w:tr>
      <w:tr>
        <w:trPr/>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Recoveries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21</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6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3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5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31</w:t>
            </w:r>
          </w:p>
        </w:tc>
        <w:tc>
          <w:tcPr>
            <w:tcW w:w="109"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52</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Ending balance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1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5,025</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20,153</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1,017</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6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1,615</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3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182</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5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416</w:t>
            </w:r>
          </w:p>
        </w:tc>
        <w:tc>
          <w:tcPr>
            <w:tcW w:w="109"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18"/>
              </w:rPr>
            </w:pPr>
            <w:r>
              <w:rPr>
                <w:rFonts w:ascii="Times New Roman;Times;serif" w:hAnsi="Times New Roman;Times;serif"/>
                <w:color w:val="231F20"/>
                <w:sz w:val="18"/>
              </w:rPr>
              <w:t>28,408</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 The provision for credit losses on the income statement also includes approximately ($164) associated with off balance sheet ACL.</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present the balance in the allowance for credit losses and the amortized cost in loans by portfolio segment and based on impairment method as of June 30, 2026 and December 31, 2025 (in thousands):</w:t>
      </w:r>
    </w:p>
    <w:p>
      <w:pPr>
        <w:pStyle w:val="TextBody"/>
        <w:bidi w:val="0"/>
        <w:spacing w:before="0" w:after="0"/>
        <w:ind w:left="0" w:right="0" w:hanging="0"/>
        <w:jc w:val="both"/>
        <w:rPr/>
      </w:pPr>
      <w:r>
        <w:rPr/>
        <w:t>​</w:t>
      </w:r>
    </w:p>
    <w:tbl>
      <w:tblPr>
        <w:tblW w:w="10218" w:type="dxa"/>
        <w:jc w:val="left"/>
        <w:tblInd w:w="0" w:type="dxa"/>
        <w:tblLayout w:type="fixed"/>
        <w:tblCellMar>
          <w:top w:w="0" w:type="dxa"/>
          <w:left w:w="0" w:type="dxa"/>
          <w:bottom w:w="0" w:type="dxa"/>
          <w:right w:w="0" w:type="dxa"/>
        </w:tblCellMar>
      </w:tblPr>
      <w:tblGrid>
        <w:gridCol w:w="1126"/>
        <w:gridCol w:w="346"/>
        <w:gridCol w:w="218"/>
        <w:gridCol w:w="773"/>
        <w:gridCol w:w="346"/>
        <w:gridCol w:w="196"/>
        <w:gridCol w:w="826"/>
        <w:gridCol w:w="346"/>
        <w:gridCol w:w="257"/>
        <w:gridCol w:w="794"/>
        <w:gridCol w:w="346"/>
        <w:gridCol w:w="228"/>
        <w:gridCol w:w="703"/>
        <w:gridCol w:w="346"/>
        <w:gridCol w:w="196"/>
        <w:gridCol w:w="511"/>
        <w:gridCol w:w="346"/>
        <w:gridCol w:w="206"/>
        <w:gridCol w:w="635"/>
        <w:gridCol w:w="346"/>
        <w:gridCol w:w="196"/>
        <w:gridCol w:w="931"/>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15010" cy="175260"/>
                      <wp:effectExtent l="0" t="0" r="0" b="0"/>
                      <wp:wrapNone/>
                      <wp:docPr id="269" name="Frame26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8430" cy="175260"/>
                      <wp:effectExtent l="0" t="0" r="0" b="0"/>
                      <wp:wrapNone/>
                      <wp:docPr id="271" name="Frame27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90855" cy="175260"/>
                      <wp:effectExtent l="0" t="0" r="0" b="0"/>
                      <wp:wrapNone/>
                      <wp:docPr id="272" name="Frame272"/>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24460" cy="175260"/>
                      <wp:effectExtent l="0" t="0" r="0" b="0"/>
                      <wp:wrapNone/>
                      <wp:docPr id="274" name="Frame2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24510" cy="175260"/>
                      <wp:effectExtent l="0" t="0" r="0" b="0"/>
                      <wp:wrapNone/>
                      <wp:docPr id="275" name="Frame27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63195" cy="175260"/>
                      <wp:effectExtent l="0" t="0" r="0" b="0"/>
                      <wp:wrapNone/>
                      <wp:docPr id="277" name="Frame27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04190" cy="175260"/>
                      <wp:effectExtent l="0" t="0" r="0" b="0"/>
                      <wp:wrapNone/>
                      <wp:docPr id="278" name="Frame278"/>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44780" cy="175260"/>
                      <wp:effectExtent l="0" t="0" r="0" b="0"/>
                      <wp:wrapNone/>
                      <wp:docPr id="280" name="Frame28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46405" cy="175260"/>
                      <wp:effectExtent l="0" t="0" r="0" b="0"/>
                      <wp:wrapNone/>
                      <wp:docPr id="281" name="Frame281"/>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24460" cy="175260"/>
                      <wp:effectExtent l="0" t="0" r="0" b="0"/>
                      <wp:wrapNone/>
                      <wp:docPr id="283" name="Frame2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24485" cy="175260"/>
                      <wp:effectExtent l="0" t="0" r="0" b="0"/>
                      <wp:wrapNone/>
                      <wp:docPr id="284" name="Frame28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0810" cy="175260"/>
                      <wp:effectExtent l="0" t="0" r="0" b="0"/>
                      <wp:wrapNone/>
                      <wp:docPr id="286" name="Frame28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03225" cy="175260"/>
                      <wp:effectExtent l="0" t="0" r="0" b="0"/>
                      <wp:wrapNone/>
                      <wp:docPr id="287" name="Frame287"/>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4460" cy="175260"/>
                      <wp:effectExtent l="0" t="0" r="0" b="0"/>
                      <wp:wrapNone/>
                      <wp:docPr id="289" name="Frame2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91185" cy="175260"/>
                      <wp:effectExtent l="0" t="0" r="0" b="0"/>
                      <wp:wrapNone/>
                      <wp:docPr id="290" name="Frame2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1"/>
              <w:ind w:left="0" w:right="0" w:hanging="0"/>
              <w:jc w:val="center"/>
              <w:rPr/>
            </w:pPr>
            <w:r>
              <w:rPr/>
              <w:t>  ​ ​ ​</w:t>
            </w:r>
          </w:p>
        </w:tc>
        <w:tc>
          <w:tcPr>
            <w:tcW w:w="22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1"/>
              <w:ind w:left="0" w:right="0" w:hanging="0"/>
              <w:jc w:val="center"/>
              <w:rPr/>
            </w:pPr>
            <w:r>
              <w:rPr/>
              <w:t>​</w:t>
            </w:r>
          </w:p>
        </w:tc>
        <w:tc>
          <w:tcPr>
            <w:tcW w:w="7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Home</w:t>
            </w:r>
          </w:p>
        </w:tc>
        <w:tc>
          <w:tcPr>
            <w:tcW w:w="34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1"/>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346" w:type="dxa"/>
            <w:tcBorders/>
            <w:vAlign w:val="center"/>
          </w:tcPr>
          <w:p>
            <w:pPr>
              <w:pStyle w:val="TableContents"/>
              <w:bidi w:val="0"/>
              <w:spacing w:before="0" w:after="1"/>
              <w:ind w:left="0" w:right="0" w:hanging="0"/>
              <w:jc w:val="center"/>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June 30, 2026</w:t>
            </w:r>
          </w:p>
        </w:tc>
        <w:tc>
          <w:tcPr>
            <w:tcW w:w="346" w:type="dxa"/>
            <w:tcBorders/>
            <w:shd w:fill="CCEEFF" w:val="clear"/>
            <w:vAlign w:val="center"/>
          </w:tcPr>
          <w:p>
            <w:pPr>
              <w:pStyle w:val="TableContents"/>
              <w:bidi w:val="0"/>
              <w:spacing w:before="0" w:after="1"/>
              <w:ind w:left="0" w:right="0" w:hanging="0"/>
              <w:jc w:val="center"/>
              <w:rPr/>
            </w:pPr>
            <w:r>
              <w:rPr/>
              <w:t>​</w:t>
            </w:r>
          </w:p>
        </w:tc>
        <w:tc>
          <w:tcPr>
            <w:tcW w:w="218" w:type="dxa"/>
            <w:tcBorders/>
            <w:shd w:fill="CCEEFF" w:val="clear"/>
            <w:vAlign w:val="center"/>
          </w:tcPr>
          <w:p>
            <w:pPr>
              <w:pStyle w:val="TableContents"/>
              <w:bidi w:val="0"/>
              <w:spacing w:before="0" w:after="1"/>
              <w:ind w:left="0" w:right="0" w:hanging="0"/>
              <w:jc w:val="center"/>
              <w:rPr/>
            </w:pPr>
            <w:r>
              <w:rPr/>
              <w:t>​</w:t>
            </w:r>
          </w:p>
        </w:tc>
        <w:tc>
          <w:tcPr>
            <w:tcW w:w="77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5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8" w:type="dxa"/>
            <w:tcBorders/>
            <w:shd w:fill="CCEEFF" w:val="clear"/>
            <w:vAlign w:val="center"/>
          </w:tcPr>
          <w:p>
            <w:pPr>
              <w:pStyle w:val="TableContents"/>
              <w:bidi w:val="0"/>
              <w:spacing w:before="0" w:after="1"/>
              <w:ind w:left="0" w:right="0" w:hanging="0"/>
              <w:jc w:val="center"/>
              <w:rPr/>
            </w:pPr>
            <w:r>
              <w:rPr/>
              <w:t>​</w:t>
            </w:r>
          </w:p>
        </w:tc>
        <w:tc>
          <w:tcPr>
            <w:tcW w:w="70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63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center"/>
              <w:rPr/>
            </w:pPr>
            <w:r>
              <w:rPr/>
              <w:t>​</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Allowance for credit losses:</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18" w:type="dxa"/>
            <w:tcBorders/>
            <w:vAlign w:val="center"/>
          </w:tcPr>
          <w:p>
            <w:pPr>
              <w:pStyle w:val="TableContents"/>
              <w:bidi w:val="0"/>
              <w:spacing w:before="0" w:after="1"/>
              <w:ind w:left="0" w:right="0" w:hanging="0"/>
              <w:jc w:val="left"/>
              <w:rPr>
                <w:color w:val="231F20"/>
              </w:rPr>
            </w:pPr>
            <w:r>
              <w:rPr>
                <w:color w:val="231F20"/>
              </w:rPr>
              <w:t>​</w:t>
            </w:r>
          </w:p>
        </w:tc>
        <w:tc>
          <w:tcPr>
            <w:tcW w:w="773"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826"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57" w:type="dxa"/>
            <w:tcBorders/>
            <w:vAlign w:val="center"/>
          </w:tcPr>
          <w:p>
            <w:pPr>
              <w:pStyle w:val="TableContents"/>
              <w:bidi w:val="0"/>
              <w:spacing w:before="0" w:after="1"/>
              <w:ind w:left="0" w:right="0" w:hanging="0"/>
              <w:jc w:val="left"/>
              <w:rPr>
                <w:color w:val="231F20"/>
              </w:rPr>
            </w:pPr>
            <w:r>
              <w:rPr>
                <w:color w:val="231F20"/>
              </w:rPr>
              <w:t>​</w:t>
            </w:r>
          </w:p>
        </w:tc>
        <w:tc>
          <w:tcPr>
            <w:tcW w:w="794"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28" w:type="dxa"/>
            <w:tcBorders/>
            <w:vAlign w:val="center"/>
          </w:tcPr>
          <w:p>
            <w:pPr>
              <w:pStyle w:val="TableContents"/>
              <w:bidi w:val="0"/>
              <w:spacing w:before="0" w:after="1"/>
              <w:ind w:left="0" w:right="0" w:hanging="0"/>
              <w:jc w:val="left"/>
              <w:rPr>
                <w:color w:val="231F20"/>
              </w:rPr>
            </w:pPr>
            <w:r>
              <w:rPr>
                <w:color w:val="231F20"/>
              </w:rPr>
              <w:t>​</w:t>
            </w:r>
          </w:p>
        </w:tc>
        <w:tc>
          <w:tcPr>
            <w:tcW w:w="703"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511"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06" w:type="dxa"/>
            <w:tcBorders/>
            <w:vAlign w:val="center"/>
          </w:tcPr>
          <w:p>
            <w:pPr>
              <w:pStyle w:val="TableContents"/>
              <w:bidi w:val="0"/>
              <w:spacing w:before="0" w:after="1"/>
              <w:ind w:left="0" w:right="0" w:hanging="0"/>
              <w:jc w:val="left"/>
              <w:rPr>
                <w:color w:val="231F20"/>
              </w:rPr>
            </w:pPr>
            <w:r>
              <w:rPr>
                <w:color w:val="231F20"/>
              </w:rPr>
              <w:t>​</w:t>
            </w:r>
          </w:p>
        </w:tc>
        <w:tc>
          <w:tcPr>
            <w:tcW w:w="635"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931" w:type="dxa"/>
            <w:tcBorders/>
            <w:vAlign w:val="center"/>
          </w:tcPr>
          <w:p>
            <w:pPr>
              <w:pStyle w:val="TableContents"/>
              <w:bidi w:val="0"/>
              <w:spacing w:before="0" w:after="1"/>
              <w:ind w:left="0" w:right="0" w:hanging="0"/>
              <w:jc w:val="right"/>
              <w:rPr>
                <w:color w:val="231F20"/>
              </w:rPr>
            </w:pPr>
            <w:r>
              <w:rPr>
                <w:color w:val="231F20"/>
              </w:rPr>
              <w:t>  ​</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Ending balance: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1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3"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82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57"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4"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2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03"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51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635"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individually evaluated for impairment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1,843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124</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4"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35</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2,002</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collectively evaluated for impairment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2,668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19,051</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1,178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872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61</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24,337</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ending allowance balance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4,511</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19,175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1,178</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872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96</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507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26,339</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Loans: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8"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73"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7"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94"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03"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51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35"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931"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Ending balance: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8" w:type="dxa"/>
            <w:tcBorders/>
            <w:vAlign w:val="center"/>
          </w:tcPr>
          <w:p>
            <w:pPr>
              <w:pStyle w:val="TableContents"/>
              <w:bidi w:val="0"/>
              <w:spacing w:before="0" w:after="1"/>
              <w:ind w:left="0" w:right="0" w:hanging="0"/>
              <w:jc w:val="left"/>
              <w:rPr>
                <w:color w:val="231F20"/>
              </w:rPr>
            </w:pPr>
            <w:r>
              <w:rPr>
                <w:color w:val="231F20"/>
              </w:rPr>
              <w:t> </w:t>
            </w:r>
          </w:p>
        </w:tc>
        <w:tc>
          <w:tcPr>
            <w:tcW w:w="773"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826"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57" w:type="dxa"/>
            <w:tcBorders/>
            <w:vAlign w:val="center"/>
          </w:tcPr>
          <w:p>
            <w:pPr>
              <w:pStyle w:val="TableContents"/>
              <w:bidi w:val="0"/>
              <w:spacing w:before="0" w:after="1"/>
              <w:ind w:left="0" w:right="0" w:hanging="0"/>
              <w:jc w:val="left"/>
              <w:rPr>
                <w:color w:val="231F20"/>
              </w:rPr>
            </w:pPr>
            <w:r>
              <w:rPr>
                <w:color w:val="231F20"/>
              </w:rPr>
              <w:t> </w:t>
            </w:r>
          </w:p>
        </w:tc>
        <w:tc>
          <w:tcPr>
            <w:tcW w:w="794"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28" w:type="dxa"/>
            <w:tcBorders/>
            <w:vAlign w:val="center"/>
          </w:tcPr>
          <w:p>
            <w:pPr>
              <w:pStyle w:val="TableContents"/>
              <w:bidi w:val="0"/>
              <w:spacing w:before="0" w:after="1"/>
              <w:ind w:left="0" w:right="0" w:hanging="0"/>
              <w:jc w:val="left"/>
              <w:rPr>
                <w:color w:val="231F20"/>
              </w:rPr>
            </w:pPr>
            <w:r>
              <w:rPr>
                <w:color w:val="231F20"/>
              </w:rPr>
              <w:t> </w:t>
            </w:r>
          </w:p>
        </w:tc>
        <w:tc>
          <w:tcPr>
            <w:tcW w:w="703"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511"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06" w:type="dxa"/>
            <w:tcBorders/>
            <w:vAlign w:val="center"/>
          </w:tcPr>
          <w:p>
            <w:pPr>
              <w:pStyle w:val="TableContents"/>
              <w:bidi w:val="0"/>
              <w:spacing w:before="0" w:after="1"/>
              <w:ind w:left="0" w:right="0" w:hanging="0"/>
              <w:jc w:val="left"/>
              <w:rPr>
                <w:color w:val="231F20"/>
              </w:rPr>
            </w:pPr>
            <w:r>
              <w:rPr>
                <w:color w:val="231F20"/>
              </w:rPr>
              <w:t> </w:t>
            </w:r>
          </w:p>
        </w:tc>
        <w:tc>
          <w:tcPr>
            <w:tcW w:w="635"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931" w:type="dxa"/>
            <w:tcBorders/>
            <w:vAlign w:val="center"/>
          </w:tcPr>
          <w:p>
            <w:pPr>
              <w:pStyle w:val="TableContents"/>
              <w:bidi w:val="0"/>
              <w:spacing w:before="0" w:after="1"/>
              <w:ind w:left="0" w:right="0" w:hanging="0"/>
              <w:jc w:val="right"/>
              <w:rPr>
                <w:color w:val="231F20"/>
              </w:rPr>
            </w:pPr>
            <w:r>
              <w:rPr>
                <w:color w:val="231F20"/>
              </w:rPr>
              <w:t>  ​</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individually evaluated for impairment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2,764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48,381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94"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833</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63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51,978</w:t>
            </w:r>
          </w:p>
        </w:tc>
      </w:tr>
      <w:tr>
        <w:trPr/>
        <w:tc>
          <w:tcPr>
            <w:tcW w:w="112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collectively evaluated for impairment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236,699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1,458,155</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99,594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21,432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6,176</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36,228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1,858,284</w:t>
            </w:r>
          </w:p>
        </w:tc>
      </w:tr>
      <w:tr>
        <w:trPr/>
        <w:tc>
          <w:tcPr>
            <w:tcW w:w="11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ending loans balance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239,463</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1,506,536</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99,594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21,432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7,009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36,228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1,910,262</w:t>
            </w:r>
          </w:p>
        </w:tc>
      </w:tr>
    </w:tbl>
    <w:p>
      <w:pPr>
        <w:pStyle w:val="TextBody"/>
        <w:bidi w:val="0"/>
        <w:spacing w:before="0" w:after="240"/>
        <w:ind w:left="0" w:right="0" w:firstLine="360"/>
        <w:jc w:val="left"/>
        <w:rPr/>
      </w:pPr>
      <w:r>
        <w:rPr/>
        <w:t>​</w:t>
      </w:r>
    </w:p>
    <w:tbl>
      <w:tblPr>
        <w:tblW w:w="10698" w:type="dxa"/>
        <w:jc w:val="left"/>
        <w:tblInd w:w="0" w:type="dxa"/>
        <w:tblLayout w:type="fixed"/>
        <w:tblCellMar>
          <w:top w:w="0" w:type="dxa"/>
          <w:left w:w="0" w:type="dxa"/>
          <w:bottom w:w="0" w:type="dxa"/>
          <w:right w:w="0" w:type="dxa"/>
        </w:tblCellMar>
      </w:tblPr>
      <w:tblGrid>
        <w:gridCol w:w="1516"/>
        <w:gridCol w:w="346"/>
        <w:gridCol w:w="218"/>
        <w:gridCol w:w="773"/>
        <w:gridCol w:w="346"/>
        <w:gridCol w:w="196"/>
        <w:gridCol w:w="826"/>
        <w:gridCol w:w="346"/>
        <w:gridCol w:w="257"/>
        <w:gridCol w:w="794"/>
        <w:gridCol w:w="346"/>
        <w:gridCol w:w="228"/>
        <w:gridCol w:w="703"/>
        <w:gridCol w:w="346"/>
        <w:gridCol w:w="196"/>
        <w:gridCol w:w="601"/>
        <w:gridCol w:w="346"/>
        <w:gridCol w:w="206"/>
        <w:gridCol w:w="635"/>
        <w:gridCol w:w="346"/>
        <w:gridCol w:w="196"/>
        <w:gridCol w:w="93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62660" cy="175260"/>
                      <wp:effectExtent l="0" t="0" r="0" b="0"/>
                      <wp:wrapNone/>
                      <wp:docPr id="291" name="Frame291"/>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8430" cy="175260"/>
                      <wp:effectExtent l="0" t="0" r="0" b="0"/>
                      <wp:wrapNone/>
                      <wp:docPr id="293" name="Frame29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90855" cy="175260"/>
                      <wp:effectExtent l="0" t="0" r="0" b="0"/>
                      <wp:wrapNone/>
                      <wp:docPr id="294" name="Frame294"/>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4460" cy="175260"/>
                      <wp:effectExtent l="0" t="0" r="0" b="0"/>
                      <wp:wrapNone/>
                      <wp:docPr id="296" name="Frame2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24510" cy="175260"/>
                      <wp:effectExtent l="0" t="0" r="0" b="0"/>
                      <wp:wrapNone/>
                      <wp:docPr id="297" name="Frame29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63195" cy="175260"/>
                      <wp:effectExtent l="0" t="0" r="0" b="0"/>
                      <wp:wrapNone/>
                      <wp:docPr id="299" name="Frame299"/>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04190" cy="175260"/>
                      <wp:effectExtent l="0" t="0" r="0" b="0"/>
                      <wp:wrapNone/>
                      <wp:docPr id="300" name="Frame300"/>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44780" cy="175260"/>
                      <wp:effectExtent l="0" t="0" r="0" b="0"/>
                      <wp:wrapNone/>
                      <wp:docPr id="302" name="Frame30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46405" cy="175260"/>
                      <wp:effectExtent l="0" t="0" r="0" b="0"/>
                      <wp:wrapNone/>
                      <wp:docPr id="303" name="Frame303"/>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4460" cy="175260"/>
                      <wp:effectExtent l="0" t="0" r="0" b="0"/>
                      <wp:wrapNone/>
                      <wp:docPr id="305"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81635" cy="175260"/>
                      <wp:effectExtent l="0" t="0" r="0" b="0"/>
                      <wp:wrapNone/>
                      <wp:docPr id="306" name="Frame30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0810" cy="175260"/>
                      <wp:effectExtent l="0" t="0" r="0" b="0"/>
                      <wp:wrapNone/>
                      <wp:docPr id="308" name="Frame30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03225" cy="175260"/>
                      <wp:effectExtent l="0" t="0" r="0" b="0"/>
                      <wp:wrapNone/>
                      <wp:docPr id="309" name="Frame309"/>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4460" cy="175260"/>
                      <wp:effectExtent l="0" t="0" r="0" b="0"/>
                      <wp:wrapNone/>
                      <wp:docPr id="311"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91185" cy="175260"/>
                      <wp:effectExtent l="0" t="0" r="0" b="0"/>
                      <wp:wrapNone/>
                      <wp:docPr id="312" name="Frame3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1"/>
              <w:ind w:left="0" w:right="0" w:hanging="0"/>
              <w:jc w:val="center"/>
              <w:rPr/>
            </w:pPr>
            <w:r>
              <w:rPr/>
              <w:t>  ​ ​ ​</w:t>
            </w:r>
          </w:p>
        </w:tc>
        <w:tc>
          <w:tcPr>
            <w:tcW w:w="22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Commercial</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346" w:type="dxa"/>
            <w:tcBorders/>
            <w:vAlign w:val="center"/>
          </w:tcPr>
          <w:p>
            <w:pPr>
              <w:pStyle w:val="TableContents"/>
              <w:bidi w:val="0"/>
              <w:spacing w:before="0" w:after="1"/>
              <w:ind w:left="0" w:right="0" w:hanging="0"/>
              <w:jc w:val="center"/>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Home</w:t>
            </w:r>
          </w:p>
        </w:tc>
        <w:tc>
          <w:tcPr>
            <w:tcW w:w="34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Industrial</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34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Real Estate</w:t>
            </w:r>
          </w:p>
        </w:tc>
        <w:tc>
          <w:tcPr>
            <w:tcW w:w="346"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Consumer</w:t>
            </w:r>
          </w:p>
        </w:tc>
        <w:tc>
          <w:tcPr>
            <w:tcW w:w="346" w:type="dxa"/>
            <w:tcBorders/>
            <w:vAlign w:val="center"/>
          </w:tcPr>
          <w:p>
            <w:pPr>
              <w:pStyle w:val="TableContents"/>
              <w:bidi w:val="0"/>
              <w:spacing w:before="0" w:after="1"/>
              <w:ind w:left="0" w:right="0" w:hanging="0"/>
              <w:jc w:val="center"/>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December 31, 2025</w:t>
            </w:r>
          </w:p>
        </w:tc>
        <w:tc>
          <w:tcPr>
            <w:tcW w:w="346" w:type="dxa"/>
            <w:tcBorders/>
            <w:shd w:fill="CCEEFF" w:val="clear"/>
            <w:vAlign w:val="center"/>
          </w:tcPr>
          <w:p>
            <w:pPr>
              <w:pStyle w:val="TableContents"/>
              <w:bidi w:val="0"/>
              <w:spacing w:before="0" w:after="1"/>
              <w:ind w:left="0" w:right="0" w:hanging="0"/>
              <w:jc w:val="center"/>
              <w:rPr/>
            </w:pPr>
            <w:r>
              <w:rPr/>
              <w:t>​</w:t>
            </w:r>
          </w:p>
        </w:tc>
        <w:tc>
          <w:tcPr>
            <w:tcW w:w="218" w:type="dxa"/>
            <w:tcBorders/>
            <w:shd w:fill="CCEEFF" w:val="clear"/>
            <w:vAlign w:val="center"/>
          </w:tcPr>
          <w:p>
            <w:pPr>
              <w:pStyle w:val="TableContents"/>
              <w:bidi w:val="0"/>
              <w:spacing w:before="0" w:after="1"/>
              <w:ind w:left="0" w:right="0" w:hanging="0"/>
              <w:jc w:val="center"/>
              <w:rPr/>
            </w:pPr>
            <w:r>
              <w:rPr/>
              <w:t>​</w:t>
            </w:r>
          </w:p>
        </w:tc>
        <w:tc>
          <w:tcPr>
            <w:tcW w:w="77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57" w:type="dxa"/>
            <w:tcBorders/>
            <w:shd w:fill="CCEEFF" w:val="clear"/>
            <w:vAlign w:val="center"/>
          </w:tcPr>
          <w:p>
            <w:pPr>
              <w:pStyle w:val="TableContents"/>
              <w:bidi w:val="0"/>
              <w:spacing w:before="0" w:after="1"/>
              <w:ind w:left="0" w:right="0" w:hanging="0"/>
              <w:jc w:val="center"/>
              <w:rPr/>
            </w:pPr>
            <w:r>
              <w:rPr/>
              <w:t>​</w:t>
            </w:r>
          </w:p>
        </w:tc>
        <w:tc>
          <w:tcPr>
            <w:tcW w:w="79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28" w:type="dxa"/>
            <w:tcBorders/>
            <w:shd w:fill="CCEEFF" w:val="clear"/>
            <w:vAlign w:val="center"/>
          </w:tcPr>
          <w:p>
            <w:pPr>
              <w:pStyle w:val="TableContents"/>
              <w:bidi w:val="0"/>
              <w:spacing w:before="0" w:after="1"/>
              <w:ind w:left="0" w:right="0" w:hanging="0"/>
              <w:jc w:val="center"/>
              <w:rPr/>
            </w:pPr>
            <w:r>
              <w:rPr/>
              <w:t>​</w:t>
            </w:r>
          </w:p>
        </w:tc>
        <w:tc>
          <w:tcPr>
            <w:tcW w:w="70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63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Allowance for credit losses:</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18" w:type="dxa"/>
            <w:tcBorders/>
            <w:vAlign w:val="center"/>
          </w:tcPr>
          <w:p>
            <w:pPr>
              <w:pStyle w:val="TableContents"/>
              <w:bidi w:val="0"/>
              <w:spacing w:before="0" w:after="1"/>
              <w:ind w:left="0" w:right="0" w:hanging="0"/>
              <w:jc w:val="left"/>
              <w:rPr>
                <w:color w:val="231F20"/>
              </w:rPr>
            </w:pPr>
            <w:r>
              <w:rPr>
                <w:color w:val="231F20"/>
              </w:rPr>
              <w:t>​</w:t>
            </w:r>
          </w:p>
        </w:tc>
        <w:tc>
          <w:tcPr>
            <w:tcW w:w="773"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826"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57" w:type="dxa"/>
            <w:tcBorders/>
            <w:vAlign w:val="center"/>
          </w:tcPr>
          <w:p>
            <w:pPr>
              <w:pStyle w:val="TableContents"/>
              <w:bidi w:val="0"/>
              <w:spacing w:before="0" w:after="1"/>
              <w:ind w:left="0" w:right="0" w:hanging="0"/>
              <w:jc w:val="left"/>
              <w:rPr>
                <w:color w:val="231F20"/>
              </w:rPr>
            </w:pPr>
            <w:r>
              <w:rPr>
                <w:color w:val="231F20"/>
              </w:rPr>
              <w:t>​</w:t>
            </w:r>
          </w:p>
        </w:tc>
        <w:tc>
          <w:tcPr>
            <w:tcW w:w="794"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28" w:type="dxa"/>
            <w:tcBorders/>
            <w:vAlign w:val="center"/>
          </w:tcPr>
          <w:p>
            <w:pPr>
              <w:pStyle w:val="TableContents"/>
              <w:bidi w:val="0"/>
              <w:spacing w:before="0" w:after="1"/>
              <w:ind w:left="0" w:right="0" w:hanging="0"/>
              <w:jc w:val="left"/>
              <w:rPr>
                <w:color w:val="231F20"/>
              </w:rPr>
            </w:pPr>
            <w:r>
              <w:rPr>
                <w:color w:val="231F20"/>
              </w:rPr>
              <w:t>​</w:t>
            </w:r>
          </w:p>
        </w:tc>
        <w:tc>
          <w:tcPr>
            <w:tcW w:w="703"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601"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06" w:type="dxa"/>
            <w:tcBorders/>
            <w:vAlign w:val="center"/>
          </w:tcPr>
          <w:p>
            <w:pPr>
              <w:pStyle w:val="TableContents"/>
              <w:bidi w:val="0"/>
              <w:spacing w:before="0" w:after="1"/>
              <w:ind w:left="0" w:right="0" w:hanging="0"/>
              <w:jc w:val="left"/>
              <w:rPr>
                <w:color w:val="231F20"/>
              </w:rPr>
            </w:pPr>
            <w:r>
              <w:rPr>
                <w:color w:val="231F20"/>
              </w:rPr>
              <w:t>​</w:t>
            </w:r>
          </w:p>
        </w:tc>
        <w:tc>
          <w:tcPr>
            <w:tcW w:w="635"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931" w:type="dxa"/>
            <w:tcBorders/>
            <w:vAlign w:val="center"/>
          </w:tcPr>
          <w:p>
            <w:pPr>
              <w:pStyle w:val="TableContents"/>
              <w:bidi w:val="0"/>
              <w:spacing w:before="0" w:after="1"/>
              <w:ind w:left="0" w:right="0" w:hanging="0"/>
              <w:jc w:val="right"/>
              <w:rPr>
                <w:color w:val="231F20"/>
              </w:rPr>
            </w:pPr>
            <w:r>
              <w:rPr>
                <w:color w:val="231F20"/>
              </w:rPr>
              <w:t>  ​</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Ending balance: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1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3"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82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57"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4"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2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03"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0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635"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before="0" w:after="1"/>
              <w:ind w:left="0" w:right="0" w:hanging="0"/>
              <w:jc w:val="right"/>
              <w:rPr>
                <w:color w:val="231F20"/>
              </w:rPr>
            </w:pPr>
            <w:r>
              <w:rPr>
                <w:color w:val="231F20"/>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individually evaluated for impairment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3"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1,898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888</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4"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2,786</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collectively evaluated for impairment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3,004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19,213</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1,040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1,601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170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25,549</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ending allowance balance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4,902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20,101</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1,040</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1,601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170</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28,335</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Loans: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8"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73"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7"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94"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03"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60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63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931" w:type="dxa"/>
            <w:tcBorders/>
            <w:shd w:fill="CCEEFF" w:val="clear"/>
            <w:vAlign w:val="center"/>
          </w:tcPr>
          <w:p>
            <w:pPr>
              <w:pStyle w:val="TableContents"/>
              <w:bidi w:val="0"/>
              <w:spacing w:before="0" w:after="1"/>
              <w:ind w:left="0" w:right="0" w:hanging="0"/>
              <w:jc w:val="right"/>
              <w:rPr>
                <w:color w:val="231F20"/>
              </w:rPr>
            </w:pPr>
            <w:r>
              <w:rPr>
                <w:color w:val="231F20"/>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Ending balance: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8" w:type="dxa"/>
            <w:tcBorders/>
            <w:vAlign w:val="center"/>
          </w:tcPr>
          <w:p>
            <w:pPr>
              <w:pStyle w:val="TableContents"/>
              <w:bidi w:val="0"/>
              <w:spacing w:before="0" w:after="1"/>
              <w:ind w:left="0" w:right="0" w:hanging="0"/>
              <w:jc w:val="left"/>
              <w:rPr>
                <w:color w:val="231F20"/>
              </w:rPr>
            </w:pPr>
            <w:r>
              <w:rPr>
                <w:color w:val="231F20"/>
              </w:rPr>
              <w:t> </w:t>
            </w:r>
          </w:p>
        </w:tc>
        <w:tc>
          <w:tcPr>
            <w:tcW w:w="773"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826" w:type="dxa"/>
            <w:tcBorders/>
            <w:vAlign w:val="center"/>
          </w:tcPr>
          <w:p>
            <w:pPr>
              <w:pStyle w:val="TableContents"/>
              <w:bidi w:val="0"/>
              <w:spacing w:before="0" w:after="1"/>
              <w:ind w:left="0" w:right="0" w:hanging="0"/>
              <w:jc w:val="right"/>
              <w:rPr>
                <w:color w:val="231F20"/>
              </w:rPr>
            </w:pPr>
            <w:r>
              <w:rPr>
                <w:color w:val="231F20"/>
              </w:rPr>
              <w:t>  ​</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57" w:type="dxa"/>
            <w:tcBorders/>
            <w:vAlign w:val="center"/>
          </w:tcPr>
          <w:p>
            <w:pPr>
              <w:pStyle w:val="TableContents"/>
              <w:bidi w:val="0"/>
              <w:spacing w:before="0" w:after="1"/>
              <w:ind w:left="0" w:right="0" w:hanging="0"/>
              <w:jc w:val="left"/>
              <w:rPr>
                <w:color w:val="231F20"/>
              </w:rPr>
            </w:pPr>
            <w:r>
              <w:rPr>
                <w:color w:val="231F20"/>
              </w:rPr>
              <w:t>​</w:t>
            </w:r>
          </w:p>
        </w:tc>
        <w:tc>
          <w:tcPr>
            <w:tcW w:w="794"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28" w:type="dxa"/>
            <w:tcBorders/>
            <w:vAlign w:val="center"/>
          </w:tcPr>
          <w:p>
            <w:pPr>
              <w:pStyle w:val="TableContents"/>
              <w:bidi w:val="0"/>
              <w:spacing w:before="0" w:after="1"/>
              <w:ind w:left="0" w:right="0" w:hanging="0"/>
              <w:jc w:val="left"/>
              <w:rPr>
                <w:color w:val="231F20"/>
              </w:rPr>
            </w:pPr>
            <w:r>
              <w:rPr>
                <w:color w:val="231F20"/>
              </w:rPr>
              <w:t>​</w:t>
            </w:r>
          </w:p>
        </w:tc>
        <w:tc>
          <w:tcPr>
            <w:tcW w:w="703"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601"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06" w:type="dxa"/>
            <w:tcBorders/>
            <w:vAlign w:val="center"/>
          </w:tcPr>
          <w:p>
            <w:pPr>
              <w:pStyle w:val="TableContents"/>
              <w:bidi w:val="0"/>
              <w:spacing w:before="0" w:after="1"/>
              <w:ind w:left="0" w:right="0" w:hanging="0"/>
              <w:jc w:val="left"/>
              <w:rPr>
                <w:color w:val="231F20"/>
              </w:rPr>
            </w:pPr>
            <w:r>
              <w:rPr>
                <w:color w:val="231F20"/>
              </w:rPr>
              <w:t>​</w:t>
            </w:r>
          </w:p>
        </w:tc>
        <w:tc>
          <w:tcPr>
            <w:tcW w:w="635"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931" w:type="dxa"/>
            <w:tcBorders/>
            <w:vAlign w:val="center"/>
          </w:tcPr>
          <w:p>
            <w:pPr>
              <w:pStyle w:val="TableContents"/>
              <w:bidi w:val="0"/>
              <w:spacing w:before="0" w:after="1"/>
              <w:ind w:left="0" w:right="0" w:hanging="0"/>
              <w:jc w:val="right"/>
              <w:rPr>
                <w:color w:val="231F20"/>
              </w:rPr>
            </w:pPr>
            <w:r>
              <w:rPr>
                <w:color w:val="231F20"/>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individually evaluated for impairment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3"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2,941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55,429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94"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844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635"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59,215</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collectively evaluated for impairment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246,692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1,424,633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99,262</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65,289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21,774</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33,419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1,891,069</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ending loans balance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249,633</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1,480,062</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99,262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65,290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22,618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33,419</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color w:val="231F20"/>
                <w:sz w:val="18"/>
              </w:rPr>
            </w:pPr>
            <w:r>
              <w:rPr>
                <w:rFonts w:ascii="Times New Roman;Times;serif" w:hAnsi="Times New Roman;Times;serif"/>
                <w:color w:val="231F20"/>
                <w:sz w:val="18"/>
              </w:rPr>
              <w:t>1,950,284</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i/>
          <w:sz w:val="20"/>
        </w:rPr>
      </w:pPr>
      <w:bookmarkStart w:id="1394" w:name="Tc_BinMe7hjmUyA8uPkyHwEeQ_13_17"/>
      <w:bookmarkStart w:id="1395" w:name="Tc_8HN3bwmRGUO_XsNojznojw_13_14"/>
      <w:bookmarkStart w:id="1396" w:name="Tc_Bv_IZgH4okSOonAjmuPghA_13_11"/>
      <w:bookmarkStart w:id="1397" w:name="Tc_QGumWJ4yJUGfJhzxwMDxQA_13_8"/>
      <w:bookmarkStart w:id="1398" w:name="Tc_YGhFGsm5f0CkISEKZmFJ0A_13_5"/>
      <w:bookmarkStart w:id="1399" w:name="Tc_S3hx6-JCpk2kpMy_TD3zOQ_13_2"/>
      <w:bookmarkStart w:id="1400" w:name="Tc_5NPWq1pIqUiR5LAddclkVA_13_0"/>
      <w:bookmarkStart w:id="1401" w:name="Tc_Pc_zGK_mpkaMOuMNX5baJA_12_18"/>
      <w:bookmarkStart w:id="1402" w:name="Tc_d67witbTZ0KWG0knYWdRlw_12_15"/>
      <w:bookmarkStart w:id="1403" w:name="Tc_8tpORA_y2EGaQF5I-xVTiQ_12_12"/>
      <w:bookmarkStart w:id="1404" w:name="Tc_LR1xq_FXD0q1fst3RAuM2w_12_9"/>
      <w:bookmarkStart w:id="1405" w:name="Tc_FPKW2fXxtU-9ZUFRgG7Klg_12_6"/>
      <w:bookmarkStart w:id="1406" w:name="Tc__qTjOPkUwE-9al_eJ6X-gA_12_3"/>
      <w:bookmarkStart w:id="1407" w:name="Tc_WxL0o5_u6Uy9wo4Ot1mTZA_12_0"/>
      <w:bookmarkStart w:id="1408" w:name="Tc_hlAPSZogVEm5i44rZhOiWg_11_18"/>
      <w:bookmarkStart w:id="1409" w:name="Tc_uBdkEimavkaGs2hC5achDQ_11_15"/>
      <w:bookmarkStart w:id="1410" w:name="Tc_atJuCETcOUuvYM_yW7bdvA_11_0"/>
      <w:bookmarkStart w:id="1411" w:name="Tc_C7twkzoD_EOcmrbnA6_J_w_10_18"/>
      <w:bookmarkStart w:id="1412" w:name="Tc_DlRfVWyCw02ClXjxBuoFcA_10_15"/>
      <w:bookmarkStart w:id="1413" w:name="Tc_L1nGC08IHUywJztjV1zZkQ_10_9"/>
      <w:bookmarkStart w:id="1414" w:name="Tc_0_QTTj3cakKsdaSWGoM6yw_10_3"/>
      <w:bookmarkStart w:id="1415" w:name="Tc_OQpPgjbn1EOOOtBojqvhPQ_10_0"/>
      <w:bookmarkStart w:id="1416" w:name="Tc_B1WeI5gMskCB1JY1dNtOHA_9_18"/>
      <w:bookmarkStart w:id="1417" w:name="Tc_AVDq8_gv-0-OEYVGmZY0Kw_9_15"/>
      <w:bookmarkStart w:id="1418" w:name="Tc_S1qYunTHVEOodvXq3GgUlg_9_12"/>
      <w:bookmarkStart w:id="1419" w:name="Tc_wC0WecABJkmkp3KQQ0iC-w_9_9"/>
      <w:bookmarkStart w:id="1420" w:name="Tc_eEv3PTjHrUKA1by6jtc-qw_9_6"/>
      <w:bookmarkStart w:id="1421" w:name="Tc_nSMbDRmVGEK-9hvQksp9Kw_9_3"/>
      <w:bookmarkStart w:id="1422" w:name="Tc_CyQRwUsMkkivYUcEA3f70w_9_0"/>
      <w:bookmarkStart w:id="1423" w:name="Tc_4r_mA7GbV0ey74jROxFq7Q_8_18"/>
      <w:bookmarkStart w:id="1424" w:name="Tc_c928501i9EKA9EmY_cb8nA_8_0"/>
      <w:bookmarkStart w:id="1425" w:name="Tc_Metri5b2Yk-LKUlhCFe04w_7_17"/>
      <w:bookmarkStart w:id="1426" w:name="Tc__x0_32t1p0C_QiIDdKypkw_7_14"/>
      <w:bookmarkStart w:id="1427" w:name="Tc_uCvOMCwfsU-TLzILd9xm6Q_7_11"/>
      <w:bookmarkStart w:id="1428" w:name="Tc_ILEMMRETWkqxPPg3CTh87A_7_8"/>
      <w:bookmarkStart w:id="1429" w:name="Tc_kXSrc1EhFU6O43qtvkPBVg_7_6"/>
      <w:bookmarkStart w:id="1430" w:name="Tc_VOYxdXJp3USjfHxRtomNKA_7_5"/>
      <w:bookmarkStart w:id="1431" w:name="Tc_tyrgaJ1PSk-NcRLrxxMOOw_7_3"/>
      <w:bookmarkStart w:id="1432" w:name="Tc_j6L7f1_xAU-ZrCedRxtAWQ_7_2"/>
      <w:bookmarkStart w:id="1433" w:name="Tc_vwsfhHpaoE-CFUqJrn9QlQ_7_0"/>
      <w:bookmarkStart w:id="1434" w:name="Tc_y-7TG_0lo06xOl-RCb0C4A_6_2"/>
      <w:bookmarkStart w:id="1435" w:name="Tc_KsiUd0HJzE6C7PKIv8LRVg_5_17"/>
      <w:bookmarkStart w:id="1436" w:name="Tc_KF1iWx4oxE6rPLvzTBAmcA_5_14"/>
      <w:bookmarkStart w:id="1437" w:name="Tc_zDNPwRf3UkOm5_3PlMeKCA_5_11"/>
      <w:bookmarkStart w:id="1438" w:name="Tc_CMZuDPg5HUe4zjVPhbF0gA_5_8"/>
      <w:bookmarkStart w:id="1439" w:name="Tc_5_s_s4Q3pk6Jd8oTurtS5A_5_5"/>
      <w:bookmarkStart w:id="1440" w:name="Tc_--4lQz7f6E6YKeGkrdZrNA_5_2"/>
      <w:bookmarkStart w:id="1441" w:name="Tc_bUDgGTK6bUSEqarnz5fMuA_4_17"/>
      <w:bookmarkStart w:id="1442" w:name="Tc_1OS1R760ck6hQTLAZyq99g_4_14"/>
      <w:bookmarkStart w:id="1443" w:name="Tc_-kHorvuvVUOkYczEO65l4Q_4_11"/>
      <w:bookmarkStart w:id="1444" w:name="Tc_HVHg8K4BJ0WCANT3V15J2g_4_8"/>
      <w:bookmarkStart w:id="1445" w:name="Tc_EGj9sBzid0OZGKfAsJFWug_4_5"/>
      <w:bookmarkStart w:id="1446" w:name="Tc_j6zZnCgSZUOe09s46x4STA_4_2"/>
      <w:bookmarkStart w:id="1447" w:name="Tc_mW43qFBuxkmX0vB2XTlBzg_3_14"/>
      <w:bookmarkStart w:id="1448" w:name="Tc_c6Z433Zj0U6-riFN8pPU-g_3_8"/>
      <w:bookmarkStart w:id="1449" w:name="Tc_jNjAuA5qfEK8Moj7vQv3jg_3_2"/>
      <w:bookmarkStart w:id="1450" w:name="Tc_ljO33dQDIk-2OK9K1eNITg_2_14"/>
      <w:bookmarkStart w:id="1451" w:name="Tc_u5b-kOYybEyQpwx8JmDBKQ_2_2"/>
      <w:bookmarkStart w:id="1452" w:name="Tc_sDafqEagtku2-FZ-WRhfrw_1_14"/>
      <w:bookmarkStart w:id="1453" w:name="Tc_KoUkMpscfEiOOl_ex1rFgw_1_2"/>
      <w:bookmarkStart w:id="1454" w:name="Tc_h-jokxFoKkKy_yT1M3tlVQ_10_11"/>
      <w:bookmarkStart w:id="1455" w:name="Tc_E2BSxtnH0UaF6zG0RV2T_Q_10_8"/>
      <w:bookmarkStart w:id="1456" w:name="Tc_WJ3i6MccsEmAJJnaSVRpLA_10_5"/>
      <w:bookmarkStart w:id="1457" w:name="Tc_d6Ev5Vk-aEudiZTNspEgfQ_10_2"/>
      <w:bookmarkStart w:id="1458" w:name="Tc_r9JToNCE1EaUpI8fH9x4jQ_10_0"/>
      <w:bookmarkStart w:id="1459" w:name="Tc_kzV-qcaVxEiqtl5kpzEybQ_9_12"/>
      <w:bookmarkStart w:id="1460" w:name="Tc_MzxvN7_jNUCnjGZ7I8bw8A_9_9"/>
      <w:bookmarkStart w:id="1461" w:name="Tc_CxlrLYX3GEa3MhIPL6wYLw_9_6"/>
      <w:bookmarkStart w:id="1462" w:name="Tc_lwkXSgz_NESltuiu35GOYA_9_3"/>
      <w:bookmarkStart w:id="1463" w:name="Tc__C3RZo0RVE-AOfi_xa1TkQ_9_0"/>
      <w:bookmarkStart w:id="1464" w:name="Tc_e1jxuhCle0eIrxNV-8rGhQ_8_12"/>
      <w:bookmarkStart w:id="1465" w:name="Tc_tWmnHv5pyEimbgWNL87H5g_8_0"/>
      <w:bookmarkStart w:id="1466" w:name="Tc_ifjQ4BTvKUKWeCcayU8ZSA_7_12"/>
      <w:bookmarkStart w:id="1467" w:name="Tc_nma5367ZokCxmRrpqO11Bw_7_6"/>
      <w:bookmarkStart w:id="1468" w:name="Tc_ReLhuw4w1Eus9PktsbnhvQ_7_0"/>
      <w:bookmarkStart w:id="1469" w:name="Tc_ca0wUVzl60G4gTQZo7e9wA_6_12"/>
      <w:bookmarkStart w:id="1470" w:name="Tc_s79zSPeS2EySvrFuvww44Q_6_9"/>
      <w:bookmarkStart w:id="1471" w:name="Tc_zoIJLBUw5EGcl9r8yFMtAg_6_6"/>
      <w:bookmarkStart w:id="1472" w:name="Tc_5L34t3b5pE-zR6Sd67gnZA_6_3"/>
      <w:bookmarkStart w:id="1473" w:name="Tc_zdu7RKcCJEiYwCIqEa80bQ_6_0"/>
      <w:bookmarkStart w:id="1474" w:name="Tc_gGXPlEQ6bEK9cg9N3W74Kg_5_0"/>
      <w:bookmarkStart w:id="1475" w:name="Tc_iDx9mD82CkKZDnhhQGylNQ_4_12"/>
      <w:bookmarkStart w:id="1476" w:name="Tc_S2gyZ60XZ0qqJjcoLec-Bg_4_11"/>
      <w:bookmarkStart w:id="1477" w:name="Tc_p5jiSHl-QkCpwN5raBUwiA_4_9"/>
      <w:bookmarkStart w:id="1478" w:name="Tc_0YiJ5bqD0UWQ765-VduQDA_4_8"/>
      <w:bookmarkStart w:id="1479" w:name="Tc_RN4GfQURyE6omwE6Vhl9iw_4_6"/>
      <w:bookmarkStart w:id="1480" w:name="Tc_TcOZxmMxpUanALnbeLWI9g_4_5"/>
      <w:bookmarkStart w:id="1481" w:name="Tc_XTEVjK2JU0ySvPnS_59psw_4_3"/>
      <w:bookmarkStart w:id="1482" w:name="Tc_a5HvDkxS0UeuZf1v2xAU3w_4_2"/>
      <w:bookmarkStart w:id="1483" w:name="Tc_n6MqsV0OfE6WZYDvwvah2A_4_0"/>
      <w:bookmarkStart w:id="1484" w:name="Tc_7k935B181Em5LndLuwJuSw_3_2"/>
      <w:bookmarkStart w:id="1485" w:name="Tc_pkK1nX6_LUiyXUjOr0Lqvw_2_12"/>
      <w:bookmarkStart w:id="1486" w:name="Tc_7MQtbjVBoEmz2iqlE7UIDg_2_8"/>
      <w:bookmarkStart w:id="1487" w:name="Tc_l6k-_U0jE021L3z4vM5Hww_2_6"/>
      <w:bookmarkStart w:id="1488" w:name="Tc_qBKJASnCf0WsT3Me8GeMtw_2_2"/>
      <w:bookmarkStart w:id="1489" w:name="Tc_0_L_emwzqUm8qwiYjh9-pQ_1_8"/>
      <w:bookmarkStart w:id="1490" w:name="Tc_H4UrEVeno0KX21uEWhrDGg_1_2"/>
      <w:bookmarkStart w:id="1491" w:name="_cdeb6fe1_f16b_49fe_a098_690f97af247a"/>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r>
        <w:rPr>
          <w:rFonts w:ascii="Times New Roman;Times;serif" w:hAnsi="Times New Roman;Times;serif"/>
          <w:b/>
          <w:i/>
          <w:sz w:val="20"/>
        </w:rPr>
        <w:t>Individually Analyzed Loans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Effective January 1, 2023, the Company began analyzing loans on an individual basis when management determined that the loan no longer exhibited risk characteristics consistent with the risk characteristics existing in its designated pool of loans, under the Company's CECL methodology. Loans individually analyzed include certain nonaccrual commercial, as well as certain accruing loans previously identified under prior troubled debt restructuring (TDR) guidance.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As of June 30, 2026 the amortized cost basis of individually analyzed loans was $52.0 million, of which $49.2 million were considered collateral dependent. As of December 31, 2025, the amortized cost basis of individually analyzed loans was $59.2 million, of which $56.3 million were considered collateral dependent. For collateral dependent loans where the borrower is experiencing financial difficulty and repayment is likely to be substantially provided through the sale or operation of the collateral, the ACL is measured based on the difference between the fair value of the collateral and the amortized cost basis of the loan, at measurement date. Certain assets held as collateral may be exposed to future deterioration in fair value, particularly due to changes in real estate markets or usage.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presents the amortized cost basis and related allowance for credit loss of individually analyzed loans considered to be collateral dependent as of June 30, 2026 and December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88"/>
        <w:gridCol w:w="346"/>
        <w:gridCol w:w="314"/>
        <w:gridCol w:w="967"/>
        <w:gridCol w:w="346"/>
        <w:gridCol w:w="346"/>
        <w:gridCol w:w="1392"/>
        <w:gridCol w:w="346"/>
        <w:gridCol w:w="314"/>
        <w:gridCol w:w="967"/>
        <w:gridCol w:w="346"/>
        <w:gridCol w:w="346"/>
        <w:gridCol w:w="1392"/>
        <w:gridCol w:w="395"/>
      </w:tblGrid>
      <w:tr>
        <w:trPr/>
        <w:tc>
          <w:tcPr>
            <w:tcW w:w="2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516380" cy="175260"/>
                      <wp:effectExtent l="0" t="0" r="0" b="0"/>
                      <wp:wrapNone/>
                      <wp:docPr id="313" name="Frame313"/>
                      <a:graphic xmlns:a="http://schemas.openxmlformats.org/drawingml/2006/main">
                        <a:graphicData uri="http://schemas.microsoft.com/office/word/2010/wordprocessingShape">
                          <wps:wsp>
                            <wps:cNvSpPr txBox="1"/>
                            <wps:spPr>
                              <a:xfrm>
                                <a:off x="0" y="0"/>
                                <a:ext cx="151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99390" cy="175260"/>
                      <wp:effectExtent l="0" t="0" r="0" b="0"/>
                      <wp:wrapNone/>
                      <wp:docPr id="315" name="Frame31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14045" cy="175260"/>
                      <wp:effectExtent l="0" t="0" r="0" b="0"/>
                      <wp:wrapNone/>
                      <wp:docPr id="316" name="Frame316"/>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883920" cy="175260"/>
                      <wp:effectExtent l="0" t="0" r="0" b="0"/>
                      <wp:wrapNone/>
                      <wp:docPr id="319" name="Frame319"/>
                      <a:graphic xmlns:a="http://schemas.openxmlformats.org/drawingml/2006/main">
                        <a:graphicData uri="http://schemas.microsoft.com/office/word/2010/wordprocessingShape">
                          <wps:wsp>
                            <wps:cNvSpPr txBox="1"/>
                            <wps:spPr>
                              <a:xfrm>
                                <a:off x="0" y="0"/>
                                <a:ext cx="883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99390" cy="175260"/>
                      <wp:effectExtent l="0" t="0" r="0" b="0"/>
                      <wp:wrapNone/>
                      <wp:docPr id="321" name="Frame32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14045" cy="175260"/>
                      <wp:effectExtent l="0" t="0" r="0" b="0"/>
                      <wp:wrapNone/>
                      <wp:docPr id="322" name="Frame322"/>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883920" cy="175260"/>
                      <wp:effectExtent l="0" t="0" r="0" b="0"/>
                      <wp:wrapNone/>
                      <wp:docPr id="325" name="Frame325"/>
                      <a:graphic xmlns:a="http://schemas.openxmlformats.org/drawingml/2006/main">
                        <a:graphicData uri="http://schemas.microsoft.com/office/word/2010/wordprocessingShape">
                          <wps:wsp>
                            <wps:cNvSpPr txBox="1"/>
                            <wps:spPr>
                              <a:xfrm>
                                <a:off x="0" y="0"/>
                                <a:ext cx="883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50825" cy="175260"/>
                      <wp:effectExtent l="0" t="0" r="0" b="0"/>
                      <wp:wrapNone/>
                      <wp:docPr id="326" name="Frame326"/>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3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June 30, 2026</w:t>
            </w:r>
          </w:p>
        </w:tc>
        <w:tc>
          <w:tcPr>
            <w:tcW w:w="346" w:type="dxa"/>
            <w:tcBorders/>
            <w:vAlign w:val="center"/>
          </w:tcPr>
          <w:p>
            <w:pPr>
              <w:pStyle w:val="TableContents"/>
              <w:bidi w:val="0"/>
              <w:spacing w:before="0" w:after="1"/>
              <w:ind w:left="0" w:right="0" w:hanging="0"/>
              <w:jc w:val="left"/>
              <w:rPr/>
            </w:pPr>
            <w:r>
              <w:rPr/>
              <w:t>  ​ ​ ​</w:t>
            </w:r>
          </w:p>
        </w:tc>
        <w:tc>
          <w:tcPr>
            <w:tcW w:w="33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2025</w:t>
            </w:r>
          </w:p>
        </w:tc>
        <w:tc>
          <w:tcPr>
            <w:tcW w:w="395" w:type="dxa"/>
            <w:tcBorders/>
            <w:vAlign w:val="center"/>
          </w:tcPr>
          <w:p>
            <w:pPr>
              <w:pStyle w:val="TableContents"/>
              <w:bidi w:val="0"/>
              <w:spacing w:before="0" w:after="1"/>
              <w:ind w:left="0" w:right="0" w:hanging="0"/>
              <w:jc w:val="left"/>
              <w:rPr/>
            </w:pPr>
            <w:r>
              <w:rPr/>
              <w:t>​</w:t>
            </w:r>
          </w:p>
        </w:tc>
      </w:tr>
      <w:tr>
        <w:trPr/>
        <w:tc>
          <w:tcPr>
            <w:tcW w:w="23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Balance</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Related Allowance </w:t>
            </w:r>
          </w:p>
        </w:tc>
        <w:tc>
          <w:tcPr>
            <w:tcW w:w="346" w:type="dxa"/>
            <w:tcBorders/>
            <w:vAlign w:val="center"/>
          </w:tcPr>
          <w:p>
            <w:pPr>
              <w:pStyle w:val="TableContents"/>
              <w:bidi w:val="0"/>
              <w:spacing w:before="0" w:after="1"/>
              <w:ind w:left="0" w:right="0" w:hanging="0"/>
              <w:jc w:val="left"/>
              <w:rPr/>
            </w:pPr>
            <w:r>
              <w:rPr/>
              <w:t>​</w:t>
            </w:r>
          </w:p>
        </w:tc>
        <w:tc>
          <w:tcPr>
            <w:tcW w:w="12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Balance</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Related Allowance </w:t>
            </w:r>
          </w:p>
        </w:tc>
        <w:tc>
          <w:tcPr>
            <w:tcW w:w="395" w:type="dxa"/>
            <w:tcBorders/>
            <w:vAlign w:val="center"/>
          </w:tcPr>
          <w:p>
            <w:pPr>
              <w:pStyle w:val="TableContents"/>
              <w:bidi w:val="0"/>
              <w:spacing w:before="0" w:after="1"/>
              <w:ind w:left="0" w:right="0" w:hanging="0"/>
              <w:jc w:val="left"/>
              <w:rPr/>
            </w:pPr>
            <w:r>
              <w:rPr/>
              <w:t>  ​ ​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23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076"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5" w:type="dxa"/>
            <w:tcBorders/>
            <w:vAlign w:val="center"/>
          </w:tcPr>
          <w:p>
            <w:pPr>
              <w:pStyle w:val="TableContents"/>
              <w:bidi w:val="0"/>
              <w:spacing w:before="0" w:after="1"/>
              <w:ind w:left="0" w:right="0" w:hanging="0"/>
              <w:jc w:val="left"/>
              <w:rPr/>
            </w:pPr>
            <w:r>
              <w:rPr/>
              <w:t>​</w:t>
            </w:r>
          </w:p>
        </w:tc>
      </w:tr>
      <w:tr>
        <w:trPr/>
        <w:tc>
          <w:tcPr>
            <w:tcW w:w="238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 ​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 ​ ​</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39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w:t>
            </w:r>
          </w:p>
        </w:tc>
      </w:tr>
      <w:tr>
        <w:trPr/>
        <w:tc>
          <w:tcPr>
            <w:tcW w:w="2388"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Commercial real estate </w:t>
            </w:r>
            <w:r>
              <w:rPr>
                <w:rFonts w:ascii="Times New Roman;Times;serif" w:hAnsi="Times New Roman;Times;serif"/>
                <w:sz w:val="14"/>
              </w:rPr>
              <w:t>(1)</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right"/>
              <w:rPr/>
            </w:pPr>
            <w:r>
              <w:rPr/>
              <w:t> </w:t>
            </w:r>
          </w:p>
        </w:tc>
        <w:tc>
          <w:tcPr>
            <w:tcW w:w="9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47,640</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3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right"/>
              <w:rPr/>
            </w:pPr>
            <w:r>
              <w:rPr/>
              <w:t> </w:t>
            </w:r>
          </w:p>
        </w:tc>
        <w:tc>
          <w:tcPr>
            <w:tcW w:w="9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54,679</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3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888</w:t>
            </w:r>
          </w:p>
        </w:tc>
        <w:tc>
          <w:tcPr>
            <w:tcW w:w="395" w:type="dxa"/>
            <w:tcBorders/>
            <w:vAlign w:val="center"/>
          </w:tcPr>
          <w:p>
            <w:pPr>
              <w:pStyle w:val="TableContents"/>
              <w:bidi w:val="0"/>
              <w:spacing w:before="0" w:after="1"/>
              <w:ind w:left="0" w:right="0" w:hanging="0"/>
              <w:jc w:val="left"/>
              <w:rPr/>
            </w:pPr>
            <w:r>
              <w:rPr/>
              <w:t>​</w:t>
            </w:r>
          </w:p>
        </w:tc>
      </w:tr>
      <w:tr>
        <w:trPr/>
        <w:tc>
          <w:tcPr>
            <w:tcW w:w="238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Commercial real estate construction </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right"/>
              <w:rPr/>
            </w:pPr>
            <w:r>
              <w:rPr/>
              <w:t> </w:t>
            </w:r>
          </w:p>
        </w:tc>
        <w:tc>
          <w:tcPr>
            <w:tcW w:w="9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39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right"/>
              <w:rPr/>
            </w:pPr>
            <w:r>
              <w:rPr/>
              <w:t> </w:t>
            </w:r>
          </w:p>
        </w:tc>
        <w:tc>
          <w:tcPr>
            <w:tcW w:w="9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39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w:t>
            </w:r>
          </w:p>
        </w:tc>
      </w:tr>
      <w:tr>
        <w:trPr/>
        <w:tc>
          <w:tcPr>
            <w:tcW w:w="2388"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Residential real estate </w:t>
            </w: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right"/>
              <w:rPr/>
            </w:pPr>
            <w:r>
              <w:rPr/>
              <w:t> </w:t>
            </w:r>
          </w:p>
        </w:tc>
        <w:tc>
          <w:tcPr>
            <w:tcW w:w="9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39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right"/>
              <w:rPr/>
            </w:pPr>
            <w:r>
              <w:rPr/>
              <w:t> </w:t>
            </w:r>
          </w:p>
        </w:tc>
        <w:tc>
          <w:tcPr>
            <w:tcW w:w="9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 </w:t>
            </w:r>
          </w:p>
        </w:tc>
        <w:tc>
          <w:tcPr>
            <w:tcW w:w="1392"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r>
      <w:tr>
        <w:trPr/>
        <w:tc>
          <w:tcPr>
            <w:tcW w:w="238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Home equity </w:t>
            </w:r>
            <w:r>
              <w:rPr>
                <w:rFonts w:ascii="Times New Roman;Times;serif" w:hAnsi="Times New Roman;Times;serif"/>
                <w:sz w:val="14"/>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right"/>
              <w:rPr/>
            </w:pPr>
            <w:r>
              <w:rPr/>
              <w:t> </w:t>
            </w:r>
          </w:p>
        </w:tc>
        <w:tc>
          <w:tcPr>
            <w:tcW w:w="9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833</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3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right"/>
              <w:rPr/>
            </w:pPr>
            <w:r>
              <w:rPr/>
              <w:t> </w:t>
            </w:r>
          </w:p>
        </w:tc>
        <w:tc>
          <w:tcPr>
            <w:tcW w:w="9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844</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 </w:t>
            </w:r>
          </w:p>
        </w:tc>
        <w:tc>
          <w:tcPr>
            <w:tcW w:w="139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w:t>
            </w:r>
          </w:p>
        </w:tc>
      </w:tr>
      <w:tr>
        <w:trPr/>
        <w:tc>
          <w:tcPr>
            <w:tcW w:w="238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9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r>
      <w:tr>
        <w:trPr/>
        <w:tc>
          <w:tcPr>
            <w:tcW w:w="238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Total </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49,213</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9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56,274</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888</w:t>
            </w:r>
          </w:p>
        </w:tc>
        <w:tc>
          <w:tcPr>
            <w:tcW w:w="395"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720" w:right="0" w:firstLine="720"/>
        <w:jc w:val="left"/>
        <w:rPr>
          <w:shd w:fill="00FFFF" w:val="clear"/>
        </w:rPr>
      </w:pPr>
      <w:r>
        <w:rPr>
          <w:shd w:fill="00FFFF" w:val="clear"/>
        </w:rPr>
        <w:t>​</w:t>
      </w:r>
    </w:p>
    <w:p>
      <w:pPr>
        <w:pStyle w:val="TextBody"/>
        <w:bidi w:val="0"/>
        <w:spacing w:lineRule="auto" w:line="240" w:before="0" w:after="0"/>
        <w:ind w:left="0" w:right="0" w:firstLine="36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Commercial real estate – secured by various types of commercial real estate.</w:t>
      </w:r>
    </w:p>
    <w:p>
      <w:pPr>
        <w:pStyle w:val="TextBody"/>
        <w:bidi w:val="0"/>
        <w:spacing w:lineRule="auto" w:line="240" w:before="0" w:after="240"/>
        <w:ind w:left="0" w:right="0" w:firstLine="36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Residential real estate – secured by residential real estate.</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amortized cost in non-accrual and loans past due over 90 days still on accrual by class of loans as of June 30, 2026 and December 31, 2025.</w:t>
      </w:r>
    </w:p>
    <w:p>
      <w:pPr>
        <w:pStyle w:val="TextBody"/>
        <w:bidi w:val="0"/>
        <w:spacing w:before="0" w:after="240"/>
        <w:ind w:left="0" w:right="0" w:firstLine="360"/>
        <w:jc w:val="both"/>
        <w:rPr/>
      </w:pPr>
      <w:r>
        <w:rPr/>
        <w:t>​</w:t>
      </w:r>
    </w:p>
    <w:tbl>
      <w:tblPr>
        <w:tblW w:w="10154" w:type="dxa"/>
        <w:jc w:val="left"/>
        <w:tblInd w:w="0" w:type="dxa"/>
        <w:tblLayout w:type="fixed"/>
        <w:tblCellMar>
          <w:top w:w="0" w:type="dxa"/>
          <w:left w:w="0" w:type="dxa"/>
          <w:bottom w:w="0" w:type="dxa"/>
          <w:right w:w="0" w:type="dxa"/>
        </w:tblCellMar>
      </w:tblPr>
      <w:tblGrid>
        <w:gridCol w:w="2626"/>
        <w:gridCol w:w="109"/>
        <w:gridCol w:w="196"/>
        <w:gridCol w:w="601"/>
        <w:gridCol w:w="346"/>
        <w:gridCol w:w="302"/>
        <w:gridCol w:w="793"/>
        <w:gridCol w:w="346"/>
        <w:gridCol w:w="196"/>
        <w:gridCol w:w="601"/>
        <w:gridCol w:w="346"/>
        <w:gridCol w:w="269"/>
        <w:gridCol w:w="826"/>
        <w:gridCol w:w="346"/>
        <w:gridCol w:w="212"/>
        <w:gridCol w:w="553"/>
        <w:gridCol w:w="346"/>
        <w:gridCol w:w="379"/>
        <w:gridCol w:w="76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667510" cy="175260"/>
                      <wp:effectExtent l="0" t="0" r="0" b="0"/>
                      <wp:wrapNone/>
                      <wp:docPr id="327" name="Frame327"/>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24460" cy="175260"/>
                      <wp:effectExtent l="0" t="0" r="0" b="0"/>
                      <wp:wrapNone/>
                      <wp:docPr id="329" name="Frame3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81635" cy="175260"/>
                      <wp:effectExtent l="0" t="0" r="0" b="0"/>
                      <wp:wrapNone/>
                      <wp:docPr id="330" name="Frame33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91770" cy="175260"/>
                      <wp:effectExtent l="0" t="0" r="0" b="0"/>
                      <wp:wrapNone/>
                      <wp:docPr id="332" name="Frame33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03555" cy="175260"/>
                      <wp:effectExtent l="0" t="0" r="0" b="0"/>
                      <wp:wrapNone/>
                      <wp:docPr id="333" name="Frame33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24460" cy="175260"/>
                      <wp:effectExtent l="0" t="0" r="0" b="0"/>
                      <wp:wrapNone/>
                      <wp:docPr id="335" name="Frame3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81635" cy="175260"/>
                      <wp:effectExtent l="0" t="0" r="0" b="0"/>
                      <wp:wrapNone/>
                      <wp:docPr id="336" name="Frame33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70815" cy="175260"/>
                      <wp:effectExtent l="0" t="0" r="0" b="0"/>
                      <wp:wrapNone/>
                      <wp:docPr id="338" name="Frame338"/>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24510" cy="175260"/>
                      <wp:effectExtent l="0" t="0" r="0" b="0"/>
                      <wp:wrapNone/>
                      <wp:docPr id="339" name="Frame33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4620" cy="175260"/>
                      <wp:effectExtent l="0" t="0" r="0" b="0"/>
                      <wp:wrapNone/>
                      <wp:docPr id="341" name="Frame34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51155" cy="175260"/>
                      <wp:effectExtent l="0" t="0" r="0" b="0"/>
                      <wp:wrapNone/>
                      <wp:docPr id="342" name="Frame342"/>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40665" cy="175260"/>
                      <wp:effectExtent l="0" t="0" r="0" b="0"/>
                      <wp:wrapNone/>
                      <wp:docPr id="344" name="Frame344"/>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83235" cy="175260"/>
                      <wp:effectExtent l="0" t="0" r="0" b="0"/>
                      <wp:wrapNone/>
                      <wp:docPr id="345" name="Frame345"/>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3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5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 Past Due</w:t>
            </w:r>
          </w:p>
        </w:tc>
      </w:tr>
      <w:tr>
        <w:trPr/>
        <w:tc>
          <w:tcPr>
            <w:tcW w:w="2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3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 No Allowance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5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 90 Days</w:t>
            </w:r>
          </w:p>
        </w:tc>
      </w:tr>
      <w:tr>
        <w:trPr/>
        <w:tc>
          <w:tcPr>
            <w:tcW w:w="2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Credit Loss</w:t>
            </w:r>
          </w:p>
        </w:tc>
        <w:tc>
          <w:tcPr>
            <w:tcW w:w="346" w:type="dxa"/>
            <w:tcBorders/>
            <w:vAlign w:val="center"/>
          </w:tcPr>
          <w:p>
            <w:pPr>
              <w:pStyle w:val="TableContents"/>
              <w:bidi w:val="0"/>
              <w:spacing w:before="0" w:after="1"/>
              <w:ind w:left="0" w:right="0" w:hanging="0"/>
              <w:jc w:val="left"/>
              <w:rPr/>
            </w:pPr>
            <w:r>
              <w:rPr/>
              <w:t>​</w:t>
            </w:r>
          </w:p>
        </w:tc>
        <w:tc>
          <w:tcPr>
            <w:tcW w:w="22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Non-accrual</w:t>
            </w:r>
          </w:p>
        </w:tc>
        <w:tc>
          <w:tcPr>
            <w:tcW w:w="346" w:type="dxa"/>
            <w:tcBorders/>
            <w:vAlign w:val="center"/>
          </w:tcPr>
          <w:p>
            <w:pPr>
              <w:pStyle w:val="TableContents"/>
              <w:bidi w:val="0"/>
              <w:spacing w:before="0" w:after="1"/>
              <w:ind w:left="0" w:right="0" w:hanging="0"/>
              <w:jc w:val="left"/>
              <w:rPr/>
            </w:pPr>
            <w:r>
              <w:rPr/>
              <w:t>​</w:t>
            </w:r>
          </w:p>
        </w:tc>
        <w:tc>
          <w:tcPr>
            <w:tcW w:w="22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Still Accruing</w:t>
            </w:r>
          </w:p>
        </w:tc>
      </w:tr>
      <w:tr>
        <w:trPr/>
        <w:tc>
          <w:tcPr>
            <w:tcW w:w="2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left"/>
              <w:rPr/>
            </w:pPr>
            <w:r>
              <w:rPr/>
              <w:t>  ​ ​ ​</w:t>
            </w:r>
          </w:p>
        </w:tc>
        <w:tc>
          <w:tcPr>
            <w:tcW w:w="7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154"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419"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2,388</w:t>
            </w:r>
          </w:p>
        </w:tc>
        <w:tc>
          <w:tcPr>
            <w:tcW w:w="34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1,577</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15,618</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15,618</w:t>
            </w:r>
          </w:p>
        </w:tc>
        <w:tc>
          <w:tcPr>
            <w:tcW w:w="3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8,690</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55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3,171</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 </w:t>
            </w:r>
          </w:p>
        </w:tc>
        <w:tc>
          <w:tcPr>
            <w:tcW w:w="761" w:type="dxa"/>
            <w:tcBorders/>
            <w:vAlign w:val="center"/>
          </w:tcPr>
          <w:p>
            <w:pPr>
              <w:pStyle w:val="TableContents"/>
              <w:bidi w:val="0"/>
              <w:spacing w:before="0" w:after="1"/>
              <w:ind w:left="0" w:right="0" w:hanging="0"/>
              <w:jc w:val="righ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 construction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5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 </w:t>
            </w:r>
          </w:p>
        </w:tc>
        <w:tc>
          <w:tcPr>
            <w:tcW w:w="761" w:type="dxa"/>
            <w:tcBorders/>
            <w:shd w:fill="CCEEFF" w:val="cle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5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 </w:t>
            </w:r>
          </w:p>
        </w:tc>
        <w:tc>
          <w:tcPr>
            <w:tcW w:w="761" w:type="dxa"/>
            <w:tcBorders/>
            <w:vAlign w:val="center"/>
          </w:tcPr>
          <w:p>
            <w:pPr>
              <w:pStyle w:val="TableContents"/>
              <w:bidi w:val="0"/>
              <w:spacing w:before="0" w:after="1"/>
              <w:ind w:left="0" w:right="0" w:hanging="0"/>
              <w:jc w:val="righ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833</w:t>
            </w:r>
          </w:p>
        </w:tc>
        <w:tc>
          <w:tcPr>
            <w:tcW w:w="34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844</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5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 </w:t>
            </w:r>
          </w:p>
        </w:tc>
        <w:tc>
          <w:tcPr>
            <w:tcW w:w="761" w:type="dxa"/>
            <w:tcBorders/>
            <w:shd w:fill="CCEEFF" w:val="clear"/>
            <w:vAlign w:val="center"/>
          </w:tcPr>
          <w:p>
            <w:pPr>
              <w:pStyle w:val="TableContents"/>
              <w:bidi w:val="0"/>
              <w:spacing w:before="0" w:after="1"/>
              <w:ind w:left="0" w:right="0" w:hanging="0"/>
              <w:jc w:val="righ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16,416</w:t>
            </w:r>
          </w:p>
        </w:tc>
        <w:tc>
          <w:tcPr>
            <w:tcW w:w="34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18,839</w:t>
            </w:r>
          </w:p>
        </w:tc>
        <w:tc>
          <w:tcPr>
            <w:tcW w:w="346" w:type="dxa"/>
            <w:tcBorders/>
            <w:shd w:fill="CCEEFF" w:val="clear"/>
            <w:vAlign w:val="center"/>
          </w:tcPr>
          <w:p>
            <w:pPr>
              <w:pStyle w:val="TableContents"/>
              <w:bidi w:val="0"/>
              <w:spacing w:before="0" w:after="1"/>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11,112</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3,321</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18</w:t>
            </w:r>
          </w:p>
        </w:tc>
      </w:tr>
    </w:tbl>
    <w:p>
      <w:pPr>
        <w:pStyle w:val="TextBody"/>
        <w:bidi w:val="0"/>
        <w:spacing w:before="0" w:after="240"/>
        <w:ind w:left="0" w:right="0" w:firstLine="36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As of June 30, 2026, the Company held $18.8 million in non-accrual balances and a related ACL of approximately $1.8 million.  Within the non-accrual balances, $16.4 million of these loans had no ACL associated to them. As of December 31, 2025, the Company had $11.1 million in non-accrual loans and related ACL of approximately $2.3 million. Within the non-accrual balances, $1.5 million of these loans had no ACL associated with them.  </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In order to determine whether a borrower is experiencing financial difficulty, an evaluation is performed of the probability that the borrower will be in payment default on any of its debt in the foreseeable future without the modification. This evaluation is performed within the scope of the Company’s internal underwriting policy. As of June 30, 2026 the Company had no loans identified with modifications due to financial difficulty.  </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1492" w:name="Tc_Ti2CBqHcLE2qOmLVeEenxA_10_14"/>
      <w:bookmarkStart w:id="1493" w:name="Tc_AT_PjXmC20exGvVA6quRWw_10_11"/>
      <w:bookmarkStart w:id="1494" w:name="Tc_BWNI1YV9RkSTWwox2jJUzA_10_8"/>
      <w:bookmarkStart w:id="1495" w:name="Tc_nAKpsqlzLk2x_70L1SdDBg_10_5"/>
      <w:bookmarkStart w:id="1496" w:name="Tc_R__uniTcdkeJtaWxGbGKxA_10_2"/>
      <w:bookmarkStart w:id="1497" w:name="Tc_r5LoZDIESUqscnPdOin46Q_10_0"/>
      <w:bookmarkStart w:id="1498" w:name="Tc_eho3ytU-kEGvYtDATddbpw_9_12"/>
      <w:bookmarkStart w:id="1499" w:name="Tc_sRZghJKZo0e7YAJPTzDn7g_9_9"/>
      <w:bookmarkStart w:id="1500" w:name="Tc_Au9jTGBhgEqIX3rWLagLJA_9_6"/>
      <w:bookmarkStart w:id="1501" w:name="Tc_eHjp1Kj5eEq7QqU17fvr2Q_9_3"/>
      <w:bookmarkStart w:id="1502" w:name="Tc_T3Tbz41nAEWGDwA3s9PoLQ_9_0"/>
      <w:bookmarkStart w:id="1503" w:name="Tc_ELWueqIJjESEJCdAHjLf6Q_8_6"/>
      <w:bookmarkStart w:id="1504" w:name="Tc_7YQ7lCpa0EaIKdWdQDWTQQ_8_3"/>
      <w:bookmarkStart w:id="1505" w:name="Tc_1V224MrjIkWTZegGoNLrdQ_8_0"/>
      <w:bookmarkStart w:id="1506" w:name="Tc_IjgG10Dk2k6-Jcb46M4dpw_7_6"/>
      <w:bookmarkStart w:id="1507" w:name="Tc_rncr5kEC2UKnQGDn7u6x6Q_7_3"/>
      <w:bookmarkStart w:id="1508" w:name="Tc_WyaoQ0Zdk0OxN8oIWEIaVQ_7_0"/>
      <w:bookmarkStart w:id="1509" w:name="Tc_wPFQ3Yha6U2VBvcvsXpa1g_6_12"/>
      <w:bookmarkStart w:id="1510" w:name="Tc_r9qqkiYIUEKWEfdG0xm2YQ_6_9"/>
      <w:bookmarkStart w:id="1511" w:name="Tc_zKROFWIpnEKwW5NNmN9HYQ_6_6"/>
      <w:bookmarkStart w:id="1512" w:name="Tc_BBuxwZD8I0KvkGajBSeMXA_6_3"/>
      <w:bookmarkStart w:id="1513" w:name="Tc_fZVusNPQp02fPICTGVogeg_6_0"/>
      <w:bookmarkStart w:id="1514" w:name="Tc_c8YA7ifutEexQQIDscwkYw_5_6"/>
      <w:bookmarkStart w:id="1515" w:name="Tc__gqmOMrbP02jtKLf-LTjGg_5_3"/>
      <w:bookmarkStart w:id="1516" w:name="Tc_rt78zvP6d0eTwpIKuPUiYQ_5_0"/>
      <w:bookmarkStart w:id="1517" w:name="Tc_dFfOL-Jp40anUJdWXM_5_g_4_14"/>
      <w:bookmarkStart w:id="1518" w:name="Tc_2NWUVr_-XEOevT6aOkIt8Q_4_11"/>
      <w:bookmarkStart w:id="1519" w:name="Tc_JEyzEOFMzkqRtkbEz8UHgg_4_8"/>
      <w:bookmarkStart w:id="1520" w:name="Tc_Qz0UdI5yHkWZcFmsIUFk3Q_4_5"/>
      <w:bookmarkStart w:id="1521" w:name="Tc_-RQVP__QdkGyPNd9iuS7Jg_4_2"/>
      <w:bookmarkStart w:id="1522" w:name="Tc_6_tc4I5ggEmGbbxQzNN5ww_4_0"/>
      <w:bookmarkStart w:id="1523" w:name="Tc_FXa7Ksqs3kuHkeIqg_YEHg_3_0"/>
      <w:bookmarkStart w:id="1524" w:name="Tc_zNPW2Pj24kSkGbv8JVaQbA_2_14"/>
      <w:bookmarkStart w:id="1525" w:name="Tc_-Imrs0nYeUeyyaX85DazWQ_2_11"/>
      <w:bookmarkStart w:id="1526" w:name="Tc_1bXDIt0O40GmHhqs1skiLQ_2_8"/>
      <w:bookmarkStart w:id="1527" w:name="Tc_aZ11IJPnh0KKQoCW10bnug_2_5"/>
      <w:bookmarkStart w:id="1528" w:name="Tc_EZP9CI46DE698a6dTdiTRw_2_2"/>
      <w:bookmarkStart w:id="1529" w:name="Tc_EaWl1yOM-0--lMHLhyfSZg_1_14"/>
      <w:bookmarkStart w:id="1530" w:name="Tc_MOc3QBTpGE-rsX6yQyLuGA_1_11"/>
      <w:bookmarkStart w:id="1531" w:name="Tc_HJSdcEYcUU6DZnG5D2hwOg_1_8"/>
      <w:bookmarkStart w:id="1532" w:name="Tc_AXyhBVpYoEiEK4riMfHDGQ_1_5"/>
      <w:bookmarkStart w:id="1533" w:name="Tc_s-r4NeGUfkCekTgIjSGwzA_1_2"/>
      <w:bookmarkStart w:id="1534" w:name="_59e1d3c9_20b0_4253_93aa_e7d9e4a0f423"/>
      <w:bookmarkStart w:id="1535" w:name="Tc_PSRSc0rgO0azSucO-hHhqw_10_14"/>
      <w:bookmarkStart w:id="1536" w:name="Tc_Eo_tHHEm_Eij7XrromKi8Q_10_11"/>
      <w:bookmarkStart w:id="1537" w:name="Tc_n3rMHVFsQkynw1uIWWnQYw_10_8"/>
      <w:bookmarkStart w:id="1538" w:name="Tc_8mhf0r9ONkqGU_I_B0uFZA_10_5"/>
      <w:bookmarkStart w:id="1539" w:name="Tc_P1Mxmzno_EG2gz6CpZmrIw_10_2"/>
      <w:bookmarkStart w:id="1540" w:name="Tc_J9P1ujPiSUqE2jJuFil1qg_10_0"/>
      <w:bookmarkStart w:id="1541" w:name="Tc_TdkJbvrtFEqVLTH6bD5woQ_9_12"/>
      <w:bookmarkStart w:id="1542" w:name="Tc_DJn6ROSHMk2I91FMTcJ67Q_9_9"/>
      <w:bookmarkStart w:id="1543" w:name="Tc_TNgAFLDta0SBXbeDtfGrWg_9_6"/>
      <w:bookmarkStart w:id="1544" w:name="Tc_qE1GibeyI02DlvpP0hJbxQ_9_3"/>
      <w:bookmarkStart w:id="1545" w:name="Tc_sCIaV0MWm0GRLLzMmlsnNQ_9_0"/>
      <w:bookmarkStart w:id="1546" w:name="Tc_ckj4u78sfkaU_UH2Tiqf_g_8_0"/>
      <w:bookmarkStart w:id="1547" w:name="Tc_36_A8EuD0E2u0foyglvyVA_7_12"/>
      <w:bookmarkStart w:id="1548" w:name="Tc_57TYeunMT0a0oZW1D9RVXQ_7_9"/>
      <w:bookmarkStart w:id="1549" w:name="Tc_mSJKqaAoLUeZ3Jtc9lFk9A_7_6"/>
      <w:bookmarkStart w:id="1550" w:name="Tc_cFjAjSOrE0Kk3qXkEm7HFQ_7_3"/>
      <w:bookmarkStart w:id="1551" w:name="Tc_XzWiXXl9xEOH9DQG-LZLDw_7_0"/>
      <w:bookmarkStart w:id="1552" w:name="Tc_xBrVfmPZEU-2dn3ESQKRew_6_12"/>
      <w:bookmarkStart w:id="1553" w:name="Tc_dYdBKaW1OEqhyqx8ELsBrQ_6_9"/>
      <w:bookmarkStart w:id="1554" w:name="Tc_FqjOtt92jUiqYGNIiNy8eA_6_6"/>
      <w:bookmarkStart w:id="1555" w:name="Tc_sVcpIhR0cU6XJnEJ6gR6dg_6_3"/>
      <w:bookmarkStart w:id="1556" w:name="Tc_oH-DoJjts06t-G7YrC_IFg_6_0"/>
      <w:bookmarkStart w:id="1557" w:name="Tc_1Os2gkQrCk2iISj-lBXKZw_5_0"/>
      <w:bookmarkStart w:id="1558" w:name="Tc_RjFQBVNs706H_LL--rjkVg_4_14"/>
      <w:bookmarkStart w:id="1559" w:name="Tc_BtYbnNe4EEqgjSvghmCIDQ_4_11"/>
      <w:bookmarkStart w:id="1560" w:name="Tc_vQkqJnQ3p0OmtO-5EcZLfA_4_8"/>
      <w:bookmarkStart w:id="1561" w:name="Tc_g1wVk4T5oUWPom-54rgqsg_4_5"/>
      <w:bookmarkStart w:id="1562" w:name="Tc_1XdI6RYPUke03vEQznoVHA_4_3"/>
      <w:bookmarkStart w:id="1563" w:name="Tc_ZhUxXyo0iEmebUiv4c2pwQ_4_2"/>
      <w:bookmarkStart w:id="1564" w:name="Tc_8YMhp6bRhE-VOJif1zRq_Q_4_0"/>
      <w:bookmarkStart w:id="1565" w:name="Tc_3Bo4hmqdd0y7SjnJBI5FMA_3_0"/>
      <w:bookmarkStart w:id="1566" w:name="Tc_3go2YZPxekGeLIZLqQci2A_2_14"/>
      <w:bookmarkStart w:id="1567" w:name="Tc_Jxa5ds_LiEeFg4FEYrMCjQ_2_11"/>
      <w:bookmarkStart w:id="1568" w:name="Tc_-Pxm4s5rOEeBQTpcy2AuEA_2_8"/>
      <w:bookmarkStart w:id="1569" w:name="Tc_u0umxUI_qUCoGadvIh-d0g_2_5"/>
      <w:bookmarkStart w:id="1570" w:name="Tc_84p89bQlOU2sh64WBFQj3g_2_2"/>
      <w:bookmarkStart w:id="1571" w:name="Tc_cdwCreQRQkKxAi7XLikdyw_1_14"/>
      <w:bookmarkStart w:id="1572" w:name="Tc_R76e3QITnUGryZK8pU4VbA_1_11"/>
      <w:bookmarkStart w:id="1573" w:name="Tc_DaucsThnRUSdOSY_7IHo2g_1_8"/>
      <w:bookmarkStart w:id="1574" w:name="Tc_pac0wulI1kekOiZv037uCw_1_5"/>
      <w:bookmarkStart w:id="1575" w:name="Tc_DaDm5_wNCUC0pTtVLNN7jA_1_2"/>
      <w:bookmarkStart w:id="1576" w:name="_b05cd527_e42e_48c1_8df2_8c5682b74324"/>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r>
        <w:rPr>
          <w:rFonts w:ascii="Times New Roman;Times;serif" w:hAnsi="Times New Roman;Times;serif"/>
          <w:sz w:val="20"/>
        </w:rPr>
        <w:t xml:space="preserve">The following tables present the aging of the amortized cost in past-due loans as of June 30, 2026 and December 31, 2025 by class of loans (In thousands): </w:t>
      </w:r>
    </w:p>
    <w:p>
      <w:pPr>
        <w:pStyle w:val="TextBody"/>
        <w:bidi w:val="0"/>
        <w:spacing w:before="0" w:after="0"/>
        <w:ind w:left="0" w:right="0" w:hanging="0"/>
        <w:jc w:val="left"/>
        <w:rPr/>
      </w:pPr>
      <w:r>
        <w:rPr/>
        <w:t>​</w:t>
      </w:r>
    </w:p>
    <w:tbl>
      <w:tblPr>
        <w:tblW w:w="9250" w:type="dxa"/>
        <w:jc w:val="left"/>
        <w:tblInd w:w="0" w:type="dxa"/>
        <w:tblLayout w:type="fixed"/>
        <w:tblCellMar>
          <w:top w:w="0" w:type="dxa"/>
          <w:left w:w="0" w:type="dxa"/>
          <w:bottom w:w="0" w:type="dxa"/>
          <w:right w:w="0" w:type="dxa"/>
        </w:tblCellMar>
      </w:tblPr>
      <w:tblGrid>
        <w:gridCol w:w="2626"/>
        <w:gridCol w:w="346"/>
        <w:gridCol w:w="319"/>
        <w:gridCol w:w="611"/>
        <w:gridCol w:w="346"/>
        <w:gridCol w:w="319"/>
        <w:gridCol w:w="611"/>
        <w:gridCol w:w="346"/>
        <w:gridCol w:w="273"/>
        <w:gridCol w:w="837"/>
        <w:gridCol w:w="346"/>
        <w:gridCol w:w="196"/>
        <w:gridCol w:w="601"/>
        <w:gridCol w:w="346"/>
        <w:gridCol w:w="196"/>
        <w:gridCol w:w="93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667510" cy="175260"/>
                      <wp:effectExtent l="0" t="0" r="0" b="0"/>
                      <wp:wrapNone/>
                      <wp:docPr id="346" name="Frame346"/>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2565" cy="175260"/>
                      <wp:effectExtent l="0" t="0" r="0" b="0"/>
                      <wp:wrapNone/>
                      <wp:docPr id="348" name="Frame34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87985" cy="175260"/>
                      <wp:effectExtent l="0" t="0" r="0" b="0"/>
                      <wp:wrapNone/>
                      <wp:docPr id="349" name="Frame349"/>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2565" cy="175260"/>
                      <wp:effectExtent l="0" t="0" r="0" b="0"/>
                      <wp:wrapNone/>
                      <wp:docPr id="351" name="Frame35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87985" cy="175260"/>
                      <wp:effectExtent l="0" t="0" r="0" b="0"/>
                      <wp:wrapNone/>
                      <wp:docPr id="352" name="Frame352"/>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73355" cy="175260"/>
                      <wp:effectExtent l="0" t="0" r="0" b="0"/>
                      <wp:wrapNone/>
                      <wp:docPr id="354" name="Frame354"/>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31495" cy="175260"/>
                      <wp:effectExtent l="0" t="0" r="0" b="0"/>
                      <wp:wrapNone/>
                      <wp:docPr id="355" name="Frame355"/>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24460" cy="175260"/>
                      <wp:effectExtent l="0" t="0" r="0" b="0"/>
                      <wp:wrapNone/>
                      <wp:docPr id="357" name="Frame3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81635" cy="175260"/>
                      <wp:effectExtent l="0" t="0" r="0" b="0"/>
                      <wp:wrapNone/>
                      <wp:docPr id="358" name="Frame35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24460" cy="175260"/>
                      <wp:effectExtent l="0" t="0" r="0" b="0"/>
                      <wp:wrapNone/>
                      <wp:docPr id="360" name="Frame3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91185" cy="175260"/>
                      <wp:effectExtent l="0" t="0" r="0" b="0"/>
                      <wp:wrapNone/>
                      <wp:docPr id="361" name="Frame3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30-59 Days</w:t>
            </w:r>
          </w:p>
        </w:tc>
        <w:tc>
          <w:tcPr>
            <w:tcW w:w="346" w:type="dxa"/>
            <w:tcBorders/>
            <w:vAlign w:val="center"/>
          </w:tcPr>
          <w:p>
            <w:pPr>
              <w:pStyle w:val="TableContents"/>
              <w:bidi w:val="0"/>
              <w:spacing w:before="0" w:after="1"/>
              <w:ind w:left="0" w:right="0" w:hanging="0"/>
              <w:jc w:val="left"/>
              <w:rPr/>
            </w:pPr>
            <w:r>
              <w:rPr/>
              <w:t>  ​ ​ ​</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60-89 Days</w:t>
            </w:r>
          </w:p>
        </w:tc>
        <w:tc>
          <w:tcPr>
            <w:tcW w:w="346" w:type="dxa"/>
            <w:tcBorders/>
            <w:vAlign w:val="center"/>
          </w:tcPr>
          <w:p>
            <w:pPr>
              <w:pStyle w:val="TableContents"/>
              <w:bidi w:val="0"/>
              <w:spacing w:before="0" w:after="1"/>
              <w:ind w:left="0" w:right="0" w:hanging="0"/>
              <w:jc w:val="left"/>
              <w:rPr/>
            </w:pPr>
            <w:r>
              <w:rPr/>
              <w:t>  ​ ​ ​</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Greater Than</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1"/>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1"/>
              <w:ind w:left="0" w:right="0" w:hanging="0"/>
              <w:jc w:val="left"/>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90 Days</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 Past Due</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June 30, 2026</w:t>
            </w:r>
          </w:p>
        </w:tc>
        <w:tc>
          <w:tcPr>
            <w:tcW w:w="346" w:type="dxa"/>
            <w:tcBorders/>
            <w:vAlign w:val="center"/>
          </w:tcPr>
          <w:p>
            <w:pPr>
              <w:pStyle w:val="TableContents"/>
              <w:bidi w:val="0"/>
              <w:spacing w:before="0" w:after="1"/>
              <w:ind w:left="0" w:right="0" w:hanging="0"/>
              <w:jc w:val="left"/>
              <w:rPr/>
            </w:pPr>
            <w:r>
              <w:rPr/>
              <w:t> </w:t>
            </w:r>
          </w:p>
        </w:tc>
        <w:tc>
          <w:tcPr>
            <w:tcW w:w="319"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319"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73"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237,592</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6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6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1,487,547</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 construction</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6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6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8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99,594</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6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6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8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21,432</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6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6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5,988</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36,228</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1,888,381</w:t>
            </w:r>
          </w:p>
        </w:tc>
      </w:tr>
    </w:tbl>
    <w:p>
      <w:pPr>
        <w:pStyle w:val="TextBody"/>
        <w:bidi w:val="0"/>
        <w:spacing w:before="0" w:after="240"/>
        <w:ind w:left="0" w:right="0" w:firstLine="360"/>
        <w:jc w:val="left"/>
        <w:rPr/>
      </w:pPr>
      <w:r>
        <w:rPr/>
        <w:t>​</w:t>
      </w:r>
    </w:p>
    <w:tbl>
      <w:tblPr>
        <w:tblW w:w="9250" w:type="dxa"/>
        <w:jc w:val="left"/>
        <w:tblInd w:w="0" w:type="dxa"/>
        <w:tblLayout w:type="fixed"/>
        <w:tblCellMar>
          <w:top w:w="0" w:type="dxa"/>
          <w:left w:w="0" w:type="dxa"/>
          <w:bottom w:w="0" w:type="dxa"/>
          <w:right w:w="0" w:type="dxa"/>
        </w:tblCellMar>
      </w:tblPr>
      <w:tblGrid>
        <w:gridCol w:w="2626"/>
        <w:gridCol w:w="346"/>
        <w:gridCol w:w="319"/>
        <w:gridCol w:w="611"/>
        <w:gridCol w:w="346"/>
        <w:gridCol w:w="336"/>
        <w:gridCol w:w="594"/>
        <w:gridCol w:w="346"/>
        <w:gridCol w:w="273"/>
        <w:gridCol w:w="837"/>
        <w:gridCol w:w="346"/>
        <w:gridCol w:w="196"/>
        <w:gridCol w:w="601"/>
        <w:gridCol w:w="346"/>
        <w:gridCol w:w="196"/>
        <w:gridCol w:w="93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67510" cy="175260"/>
                      <wp:effectExtent l="0" t="0" r="0" b="0"/>
                      <wp:wrapNone/>
                      <wp:docPr id="362" name="Frame362"/>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2565" cy="175260"/>
                      <wp:effectExtent l="0" t="0" r="0" b="0"/>
                      <wp:wrapNone/>
                      <wp:docPr id="364" name="Frame364"/>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87985" cy="175260"/>
                      <wp:effectExtent l="0" t="0" r="0" b="0"/>
                      <wp:wrapNone/>
                      <wp:docPr id="365" name="Frame365"/>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3360" cy="175260"/>
                      <wp:effectExtent l="0" t="0" r="0" b="0"/>
                      <wp:wrapNone/>
                      <wp:docPr id="367" name="Frame36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77190" cy="175260"/>
                      <wp:effectExtent l="0" t="0" r="0" b="0"/>
                      <wp:wrapNone/>
                      <wp:docPr id="368" name="Frame368"/>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73355" cy="175260"/>
                      <wp:effectExtent l="0" t="0" r="0" b="0"/>
                      <wp:wrapNone/>
                      <wp:docPr id="370" name="Frame37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31495" cy="175260"/>
                      <wp:effectExtent l="0" t="0" r="0" b="0"/>
                      <wp:wrapNone/>
                      <wp:docPr id="371" name="Frame371"/>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24460" cy="175260"/>
                      <wp:effectExtent l="0" t="0" r="0" b="0"/>
                      <wp:wrapNone/>
                      <wp:docPr id="373" name="Frame3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81635" cy="175260"/>
                      <wp:effectExtent l="0" t="0" r="0" b="0"/>
                      <wp:wrapNone/>
                      <wp:docPr id="374" name="Frame37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24460" cy="175260"/>
                      <wp:effectExtent l="0" t="0" r="0" b="0"/>
                      <wp:wrapNone/>
                      <wp:docPr id="376" name="Frame3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91185" cy="175260"/>
                      <wp:effectExtent l="0" t="0" r="0" b="0"/>
                      <wp:wrapNone/>
                      <wp:docPr id="377" name="Frame3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30-59 Days</w:t>
            </w:r>
          </w:p>
        </w:tc>
        <w:tc>
          <w:tcPr>
            <w:tcW w:w="346" w:type="dxa"/>
            <w:tcBorders/>
            <w:vAlign w:val="center"/>
          </w:tcPr>
          <w:p>
            <w:pPr>
              <w:pStyle w:val="TableContents"/>
              <w:bidi w:val="0"/>
              <w:spacing w:before="0" w:after="1"/>
              <w:ind w:left="0" w:right="0" w:hanging="0"/>
              <w:jc w:val="center"/>
              <w:rPr/>
            </w:pPr>
            <w:r>
              <w:rPr/>
              <w:t>  ​ ​ ​</w:t>
            </w:r>
          </w:p>
        </w:tc>
        <w:tc>
          <w:tcPr>
            <w:tcW w:w="9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60-89 Days</w:t>
            </w:r>
          </w:p>
        </w:tc>
        <w:tc>
          <w:tcPr>
            <w:tcW w:w="346" w:type="dxa"/>
            <w:tcBorders/>
            <w:vAlign w:val="center"/>
          </w:tcPr>
          <w:p>
            <w:pPr>
              <w:pStyle w:val="TableContents"/>
              <w:bidi w:val="0"/>
              <w:spacing w:before="0" w:after="1"/>
              <w:ind w:left="0" w:right="0" w:hanging="0"/>
              <w:jc w:val="center"/>
              <w:rPr/>
            </w:pPr>
            <w:r>
              <w:rPr/>
              <w:t>  ​ ​ ​</w:t>
            </w:r>
          </w:p>
        </w:tc>
        <w:tc>
          <w:tcPr>
            <w:tcW w:w="11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Greater Than</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r>
      <w:tr>
        <w:trPr/>
        <w:tc>
          <w:tcPr>
            <w:tcW w:w="26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1"/>
              <w:ind w:left="0" w:right="0" w:hanging="0"/>
              <w:jc w:val="center"/>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1"/>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90 Days</w:t>
            </w:r>
          </w:p>
        </w:tc>
        <w:tc>
          <w:tcPr>
            <w:tcW w:w="346"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46" w:type="dxa"/>
            <w:tcBorders/>
            <w:vAlign w:val="center"/>
          </w:tcPr>
          <w:p>
            <w:pPr>
              <w:pStyle w:val="TableContents"/>
              <w:bidi w:val="0"/>
              <w:spacing w:before="0" w:after="1"/>
              <w:ind w:left="0" w:right="0" w:hanging="0"/>
              <w:jc w:val="center"/>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 Past Due</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December 31, 2025</w:t>
            </w:r>
          </w:p>
        </w:tc>
        <w:tc>
          <w:tcPr>
            <w:tcW w:w="346"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center"/>
              <w:rPr/>
            </w:pPr>
            <w:r>
              <w:rPr/>
              <w:t>​</w:t>
            </w:r>
          </w:p>
        </w:tc>
        <w:tc>
          <w:tcPr>
            <w:tcW w:w="6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36" w:type="dxa"/>
            <w:tcBorders/>
            <w:vAlign w:val="center"/>
          </w:tcPr>
          <w:p>
            <w:pPr>
              <w:pStyle w:val="TableContents"/>
              <w:bidi w:val="0"/>
              <w:spacing w:before="0" w:after="1"/>
              <w:ind w:left="0" w:right="0" w:hanging="0"/>
              <w:jc w:val="center"/>
              <w:rPr/>
            </w:pPr>
            <w:r>
              <w:rPr/>
              <w:t>​</w:t>
            </w:r>
          </w:p>
        </w:tc>
        <w:tc>
          <w:tcPr>
            <w:tcW w:w="59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73" w:type="dxa"/>
            <w:tcBorders/>
            <w:vAlign w:val="center"/>
          </w:tcPr>
          <w:p>
            <w:pPr>
              <w:pStyle w:val="TableContents"/>
              <w:bidi w:val="0"/>
              <w:spacing w:before="0" w:after="1"/>
              <w:ind w:left="0" w:right="0" w:hanging="0"/>
              <w:jc w:val="center"/>
              <w:rPr/>
            </w:pPr>
            <w:r>
              <w:rPr/>
              <w:t>​</w:t>
            </w:r>
          </w:p>
        </w:tc>
        <w:tc>
          <w:tcPr>
            <w:tcW w:w="83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744</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247,294</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6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 </w:t>
            </w:r>
          </w:p>
        </w:tc>
        <w:tc>
          <w:tcPr>
            <w:tcW w:w="5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1,471,648</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 construction</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6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 </w:t>
            </w:r>
          </w:p>
        </w:tc>
        <w:tc>
          <w:tcPr>
            <w:tcW w:w="5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8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99,262</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w:t>
            </w:r>
          </w:p>
        </w:tc>
        <w:tc>
          <w:tcPr>
            <w:tcW w:w="34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6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 </w:t>
            </w:r>
          </w:p>
        </w:tc>
        <w:tc>
          <w:tcPr>
            <w:tcW w:w="5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 </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65,289</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6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 </w:t>
            </w:r>
          </w:p>
        </w:tc>
        <w:tc>
          <w:tcPr>
            <w:tcW w:w="5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 </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22,002</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33,419</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744</w:t>
            </w:r>
          </w:p>
        </w:tc>
        <w:tc>
          <w:tcPr>
            <w:tcW w:w="346"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1,938,914</w:t>
            </w:r>
          </w:p>
        </w:tc>
      </w:tr>
    </w:tbl>
    <w:p>
      <w:pPr>
        <w:pStyle w:val="TextBody"/>
        <w:bidi w:val="0"/>
        <w:spacing w:before="0" w:after="240"/>
        <w:ind w:left="0" w:right="0" w:firstLine="360"/>
        <w:jc w:val="left"/>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As of  June 30, 2026 and December 31, 2025, loans in the process of foreclosure were $6.7 million and $13.7 million respectively, of which none were secured by residential real estate.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b/>
          <w:i/>
          <w:sz w:val="20"/>
        </w:rPr>
        <w:t>Credit Quality Indicators:</w:t>
      </w:r>
      <w:r>
        <w:rPr>
          <w:rFonts w:ascii="Times New Roman;Times;serif" w:hAnsi="Times New Roman;Times;serif"/>
          <w:sz w:val="20"/>
        </w:rPr>
        <w:t xml:space="preserve"> The Company categorizes loans into risk categories based on relevant information about the ability of borrowers to service their debt such as: current financial information, historical payment experience, credit documentation, public information and current economic trends, among other factors. The Company analyzes loans individually by classifying the loans as to credit risk. This analysis includes loans with an outstanding balance greater than $350 thousand and non-homogeneous loans, such as commercial and commercial real estate loans. This analysis is performed on an annual basis. The Company uses the following definitions for risk ratings:</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i/>
          <w:sz w:val="20"/>
        </w:rPr>
        <w:t>Special Mention</w:t>
      </w:r>
      <w:r>
        <w:rPr>
          <w:rFonts w:ascii="Times New Roman;Times;serif" w:hAnsi="Times New Roman;Times;serif"/>
          <w:sz w:val="20"/>
        </w:rPr>
        <w:t>. Loans classified as special mention have a potential weakness that deserves management’s close attention. If left uncorrected, these potential weaknesses may result in deterioration of the repayment prospects for the loan or the institution’s credit position at some future date.</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i/>
          <w:sz w:val="20"/>
        </w:rPr>
        <w:t>Substandard</w:t>
      </w:r>
      <w:r>
        <w:rPr>
          <w:rFonts w:ascii="Times New Roman;Times;serif" w:hAnsi="Times New Roman;Times;serif"/>
          <w:sz w:val="20"/>
        </w:rPr>
        <w:t>. Loans classified as substandard are inadequately protected by the current net worth and paying capacity of the obligor or of the collateral pledged, if any. Loans so classified have a well- defined weakness or weaknesses that jeopardize the liquidation of the debt. They are characterized by the distinct possibility that the institution will sustain some loss if the deficiencies are not corrected.</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i/>
          <w:sz w:val="20"/>
        </w:rPr>
        <w:t>Doubtful</w:t>
      </w:r>
      <w:r>
        <w:rPr>
          <w:rFonts w:ascii="Times New Roman;Times;serif" w:hAnsi="Times New Roman;Times;serif"/>
          <w:sz w:val="20"/>
        </w:rPr>
        <w:t>. Loans classified as doubtful have all the weaknesses inherent in those classified as substandard, with the added characteristic that the weaknesses make collection or liquidation in full, on the basis of currently existing facts, conditions, and values, highly questionable and improbable.</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Loans not meeting the criteria above that are analyzed individually as part of the above described process are considered to be pass-rated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1577" w:name="Tc_5ZaYzHD6rE-ZPeF9o2MAuQ_49_26"/>
      <w:bookmarkStart w:id="1578" w:name="Tc_pMOpJjkvyU2AoY0Fn-qlnQ_49_24"/>
      <w:bookmarkStart w:id="1579" w:name="Tc_4-eiTjjbEE2lCvyNYO0S5w_49_23"/>
      <w:bookmarkStart w:id="1580" w:name="Tc_17f12t46AEWJCzmLbQlO4g_49_21"/>
      <w:bookmarkStart w:id="1581" w:name="Tc_1740kGKzvE-26l5uAr_ITg_49_20"/>
      <w:bookmarkStart w:id="1582" w:name="Tc_A3wH7PHclkacDGRCfXpjtQ_49_17"/>
      <w:bookmarkStart w:id="1583" w:name="Tc_bG4xtWGRHUuyPPcWojjfvw_49_14"/>
      <w:bookmarkStart w:id="1584" w:name="Tc_Ql5UHMsUsES7obN_-tr8pg_49_12"/>
      <w:bookmarkStart w:id="1585" w:name="Tc_vo1QerhtfECo1FvRHjRmPw_49_11"/>
      <w:bookmarkStart w:id="1586" w:name="Tc_03N6nTazFkah2ALcyq1h5g_49_8"/>
      <w:bookmarkStart w:id="1587" w:name="Tc_AIm8vXOReUKFoJ6hz-tbtg_49_6"/>
      <w:bookmarkStart w:id="1588" w:name="Tc_tc48HLd2z02KXDfyG2fJXg_49_5"/>
      <w:bookmarkStart w:id="1589" w:name="Tc_bV0RzViOPUiFYzQgsbiE3A_49_2"/>
      <w:bookmarkStart w:id="1590" w:name="Tc_xg7NEVfnYEievTGGnIJZ0A_49_0"/>
      <w:bookmarkStart w:id="1591" w:name="Tc_cl-vP9X-9EywO0vBo3Fu8w_47_26"/>
      <w:bookmarkStart w:id="1592" w:name="Tc_psNvFSMmMUKwhrHHWa6vcQ_47_23"/>
      <w:bookmarkStart w:id="1593" w:name="Tc_onEAFXeB-U6RW4GGhXd1bA_47_20"/>
      <w:bookmarkStart w:id="1594" w:name="Tc_2xb9ib-fsEOt1sm2tr2r1w_47_17"/>
      <w:bookmarkStart w:id="1595" w:name="Tc_u05CAfXF50SZE-3VrXEBOw_47_14"/>
      <w:bookmarkStart w:id="1596" w:name="Tc_Qsraf69km0KpKiNako4qOw_47_11"/>
      <w:bookmarkStart w:id="1597" w:name="Tc_hGavOTYggE-lscnGtRoPlA_47_8"/>
      <w:bookmarkStart w:id="1598" w:name="Tc_g2w83D2VFkGQU_tfZWVU7Q_47_5"/>
      <w:bookmarkStart w:id="1599" w:name="Tc_bXIsPSEdNkGzHOeEgeeT7A_47_2"/>
      <w:bookmarkStart w:id="1600" w:name="Tc_tAYzP0-fFU-T1AlYb0tu9g_47_0"/>
      <w:bookmarkStart w:id="1601" w:name="Tc_f0hEFXB7a0Sn8NwTMOcIGg_45_24"/>
      <w:bookmarkStart w:id="1602" w:name="Tc_enHHtz0hN0uoSJ8Fs1uQYA_45_21"/>
      <w:bookmarkStart w:id="1603" w:name="Tc_gmMsWg9xJkSEKAaABcLn8A_45_15"/>
      <w:bookmarkStart w:id="1604" w:name="Tc_D68rOTaqOkWv36DDIU6ViQ_45_12"/>
      <w:bookmarkStart w:id="1605" w:name="Tc_16Ol6Vn_QE-RV5m2iZykVg_45_9"/>
      <w:bookmarkStart w:id="1606" w:name="Tc_MenttcX9CEeXjV9xTm3d2g_45_6"/>
      <w:bookmarkStart w:id="1607" w:name="Tc_IADeqlpJV0OSBfxAz6gYTA_45_3"/>
      <w:bookmarkStart w:id="1608" w:name="Tc_IJ8bkCtIGkOxwCH-1AKgoQ_45_0"/>
      <w:bookmarkStart w:id="1609" w:name="Tc_aj_W4Kodw06NkpCkxSw3kQ_44_24"/>
      <w:bookmarkStart w:id="1610" w:name="Tc_ELL3qQgEjk-kb3zXG9tGOQ_44_15"/>
      <w:bookmarkStart w:id="1611" w:name="Tc_ThHpCNRGSEyN13ifL-uaVw_44_0"/>
      <w:bookmarkStart w:id="1612" w:name="Tc_P4CNg5cIZUq_KR04_ZKqHw_43_27"/>
      <w:bookmarkStart w:id="1613" w:name="Tc_Re__539MHEyniI3zMEnaZg_43_24"/>
      <w:bookmarkStart w:id="1614" w:name="Tc_nJkagd06Ak-hNLwpe5lHbg_43_21"/>
      <w:bookmarkStart w:id="1615" w:name="Tc_AlvdYi-bl0q33NC61KPOrA_43_18"/>
      <w:bookmarkStart w:id="1616" w:name="Tc_rj0y-ExhlUGu2gRYwQF18A_43_15"/>
      <w:bookmarkStart w:id="1617" w:name="Tc_fSUXai9eO0qkYmn27dSp4A_43_12"/>
      <w:bookmarkStart w:id="1618" w:name="Tc_n9lvbhOIRU2R2aRPsb2foA_43_9"/>
      <w:bookmarkStart w:id="1619" w:name="Tc_zwZXTIrD_km76WkOTTgTUw_43_6"/>
      <w:bookmarkStart w:id="1620" w:name="Tc_QhA5-y4lv0qEQUXiT24uvQ_43_0"/>
      <w:bookmarkStart w:id="1621" w:name="Tc_uakPJF7OTEuLLSwGDyXKQw_42_27"/>
      <w:bookmarkStart w:id="1622" w:name="Tc_qknthNh_aEWIaTtuDpn8dQ_42_24"/>
      <w:bookmarkStart w:id="1623" w:name="Tc_gfwkzm-dVUuuZiRs6Urr8w_42_21"/>
      <w:bookmarkStart w:id="1624" w:name="Tc_wJxI3L8P2Uax-x6fK2V7bQ_42_18"/>
      <w:bookmarkStart w:id="1625" w:name="Tc_1FCXkQvWEEK6iE2wRZOECw_42_15"/>
      <w:bookmarkStart w:id="1626" w:name="Tc_uBCeN5NTMkO3YdCPBwpIEQ_42_12"/>
      <w:bookmarkStart w:id="1627" w:name="Tc_dyrDssAMP0e00UOiI43ZLA_42_9"/>
      <w:bookmarkStart w:id="1628" w:name="Tc_b4qytVXvw06h54gEzoZzjA_42_6"/>
      <w:bookmarkStart w:id="1629" w:name="Tc_ra529MuMD0GPMuepLmOPOA_42_3"/>
      <w:bookmarkStart w:id="1630" w:name="Tc_R_ol6J6X7U2vMh_etucPiQ_42_0"/>
      <w:bookmarkStart w:id="1631" w:name="Tc_juwsuM4ZFUun6N5EIsfokw_41_24"/>
      <w:bookmarkStart w:id="1632" w:name="Tc_U8TS758byUm8qes9SDv_mA_41_15"/>
      <w:bookmarkStart w:id="1633" w:name="Tc_Wa_OMi6zgkGmCEAuVkQRlA_41_0"/>
      <w:bookmarkStart w:id="1634" w:name="Tc_nQDChLqUJk-e0VBbkXdqyA_40_0"/>
      <w:bookmarkStart w:id="1635" w:name="Tc_AG1e3J-FQU69r2GpOdsF0A_38_27"/>
      <w:bookmarkStart w:id="1636" w:name="Tc__Vp5jL0-4UOxWHMo17B63g_38_24"/>
      <w:bookmarkStart w:id="1637" w:name="Tc_UpZUZEYq0kaBFukcrwBRoQ_38_21"/>
      <w:bookmarkStart w:id="1638" w:name="Tc_xefderwG0UuBfsB0Nr51zg_38_18"/>
      <w:bookmarkStart w:id="1639" w:name="Tc_72umRyoH0EGtIf-2ZvigAw_38_15"/>
      <w:bookmarkStart w:id="1640" w:name="Tc_cEFMozpTFkiw4OvdddvQkQ_38_12"/>
      <w:bookmarkStart w:id="1641" w:name="Tc_xy1TqWnz60SZyPunv6CESA_38_9"/>
      <w:bookmarkStart w:id="1642" w:name="Tc_s5_oJOn1GU-9vuEJ4yGFNg_38_6"/>
      <w:bookmarkStart w:id="1643" w:name="Tc__JyJxrae_Ei0E7v3Vy6z9w_38_3"/>
      <w:bookmarkStart w:id="1644" w:name="Tc_D9P5e-GHY0Cv3lkgEqeRHw_38_0"/>
      <w:bookmarkStart w:id="1645" w:name="Tc_SeG9wt0180KXvzoE_exs0w_37_15"/>
      <w:bookmarkStart w:id="1646" w:name="Tc_ZywBUjHHnUag90JmjunHaw_37_12"/>
      <w:bookmarkStart w:id="1647" w:name="Tc_Kqtt3pgKDEC9AsOZ5U-x_w_37_9"/>
      <w:bookmarkStart w:id="1648" w:name="Tc_X81X19u1uE6YN2cOU5aHgg_37_6"/>
      <w:bookmarkStart w:id="1649" w:name="Tc_FPmWz3mv7k2bj1-wZ5miXw_37_3"/>
      <w:bookmarkStart w:id="1650" w:name="Tc_YohYn4XkakCdetaJ-EO-TA_37_0"/>
      <w:bookmarkStart w:id="1651" w:name="Tc_U4dvbKa7nkaEOgkCbypVrw_36_24"/>
      <w:bookmarkStart w:id="1652" w:name="Tc_O35hGsewLE6EALJqIL1ZNw_36_18"/>
      <w:bookmarkStart w:id="1653" w:name="Tc_ZrhpRi5vzE-vZwNDhEnjLQ_36_15"/>
      <w:bookmarkStart w:id="1654" w:name="Tc_9rNmaq8Ra0qp44KRR9xKFg_36_12"/>
      <w:bookmarkStart w:id="1655" w:name="Tc_7YhAPKxYEkOYbibc84-58g_36_9"/>
      <w:bookmarkStart w:id="1656" w:name="Tc_Jz46b-0O_U-8V_b-byfJpQ_36_6"/>
      <w:bookmarkStart w:id="1657" w:name="Tc_GA2-yknrAE6RjCtDL5v1-w_36_3"/>
      <w:bookmarkStart w:id="1658" w:name="Tc_aPrz2jIT602dSh3CK5CyIQ_36_0"/>
      <w:bookmarkStart w:id="1659" w:name="Tc_WOnFqEGQGUukL7ZFTLGmGg_35_27"/>
      <w:bookmarkStart w:id="1660" w:name="Tc_Nuq9MkiPJE6zXhwA8U1CIw_35_24"/>
      <w:bookmarkStart w:id="1661" w:name="Tc_KtRyFKjcDEKtwd40oIQPEw_35_21"/>
      <w:bookmarkStart w:id="1662" w:name="Tc_h0t38iFFaUCqDXwwx4lIyg_35_18"/>
      <w:bookmarkStart w:id="1663" w:name="Tc_ZIyc9YIE8USNhZzbpGv4dw_35_15"/>
      <w:bookmarkStart w:id="1664" w:name="Tc_VH5cvf-zwkiY30l8UaM_iA_35_12"/>
      <w:bookmarkStart w:id="1665" w:name="Tc_dOmAhrsnNkuxzI4ACGxszw_35_9"/>
      <w:bookmarkStart w:id="1666" w:name="Tc_XyuvBjVKkEO9dfqmys52Sw_35_6"/>
      <w:bookmarkStart w:id="1667" w:name="Tc_pDv6fA1JBk-UlDyh0ISbTA_35_3"/>
      <w:bookmarkStart w:id="1668" w:name="Tc_0BEb4W-DpkG8N-nr4gzEqg_35_0"/>
      <w:bookmarkStart w:id="1669" w:name="Tc_FiEtLM5_4UWGtByBvRpDiA_34_15"/>
      <w:bookmarkStart w:id="1670" w:name="Tc_rFqGEEzzZk6xJvkaHpj6zg_34_12"/>
      <w:bookmarkStart w:id="1671" w:name="Tc_Rm9c6ky9GUaHN7vehN7-Wg_34_9"/>
      <w:bookmarkStart w:id="1672" w:name="Tc_wwdGJxEx2ku3ycj-hYmdIw_34_6"/>
      <w:bookmarkStart w:id="1673" w:name="Tc_GVi9U5a3BE-DvE_VmqMl1Q_34_3"/>
      <w:bookmarkStart w:id="1674" w:name="Tc_912CRkv1e06kM09EIlYPig_34_0"/>
      <w:bookmarkStart w:id="1675" w:name="Tc_iOV2fL4f8kmyriwarJGZbg_33_0"/>
      <w:bookmarkStart w:id="1676" w:name="Tc_L8x_BuWqQkKnjHQEHolEGQ_31_27"/>
      <w:bookmarkStart w:id="1677" w:name="Tc_vGXWtcxTLEqAmU281N07FA_31_24"/>
      <w:bookmarkStart w:id="1678" w:name="Tc_0zIXWv_LLka1UXyJ-iRMBw_31_21"/>
      <w:bookmarkStart w:id="1679" w:name="Tc_3dAYo72EjECpA-0UoPgQ6A_31_18"/>
      <w:bookmarkStart w:id="1680" w:name="Tc_rcJLVTaxQ0GdQcrKQqZDeQ_31_15"/>
      <w:bookmarkStart w:id="1681" w:name="Tc_45bn4RJrZEqo9Cmc5jX5AA_31_12"/>
      <w:bookmarkStart w:id="1682" w:name="Tc_b6ccuVCQ20GaxrU8yHTptg_31_9"/>
      <w:bookmarkStart w:id="1683" w:name="Tc_v32BBo31g0GG1OZ6qCyvsg_31_6"/>
      <w:bookmarkStart w:id="1684" w:name="Tc_vBGHHZM1TkiHT_2H_-ykGg_31_3"/>
      <w:bookmarkStart w:id="1685" w:name="Tc_7LbdkpbgHkSjous0fSXcng_31_0"/>
      <w:bookmarkStart w:id="1686" w:name="Tc_GmSZkFHU3UytLac05RjF0w_30_24"/>
      <w:bookmarkStart w:id="1687" w:name="Tc_bz8K5gmKlEeyIV1hSFseXw_30_21"/>
      <w:bookmarkStart w:id="1688" w:name="Tc_M5i4dfygxUi_JY9r35waIA_30_12"/>
      <w:bookmarkStart w:id="1689" w:name="Tc_19LJ8O7lR0-7YxMn-x7Ugg_30_0"/>
      <w:bookmarkStart w:id="1690" w:name="Tc_lxSfOBCkwkKoIEsouF6eJA_29_27"/>
      <w:bookmarkStart w:id="1691" w:name="Tc_lSRhrSb3HUalM7aO0auVzg_29_24"/>
      <w:bookmarkStart w:id="1692" w:name="Tc_yFODtdOCMUywissJ8nDhgw_29_21"/>
      <w:bookmarkStart w:id="1693" w:name="Tc_ECV-9Dr0T0q67lTgTt0LCQ_29_18"/>
      <w:bookmarkStart w:id="1694" w:name="Tc_vPITKbDxxUyOLFqFI3bnyw_29_15"/>
      <w:bookmarkStart w:id="1695" w:name="Tc_VtbqxL4wIUOpOA8fYNhUAw_29_12"/>
      <w:bookmarkStart w:id="1696" w:name="Tc_T_Bxnn5UT02oePK0prLGmQ_29_9"/>
      <w:bookmarkStart w:id="1697" w:name="Tc_e2hVAAiQvEG-1CWZiDoSnQ_29_6"/>
      <w:bookmarkStart w:id="1698" w:name="Tc_lThnfhQ7HEagZW-RDnTgNw_29_3"/>
      <w:bookmarkStart w:id="1699" w:name="Tc_H-etmsr1XEe6K7k7uoCxfQ_29_0"/>
      <w:bookmarkStart w:id="1700" w:name="Tc_phu2rMP96kqSnsjVLlTq1w_28_27"/>
      <w:bookmarkStart w:id="1701" w:name="Tc_BIhql3Ybe0q0VXeSt9USMg_28_24"/>
      <w:bookmarkStart w:id="1702" w:name="Tc_WOiJKSQPDU6Kw29gYMYolw_28_21"/>
      <w:bookmarkStart w:id="1703" w:name="Tc_DSv3k9tqQk28mwFHiXxH8Q_28_18"/>
      <w:bookmarkStart w:id="1704" w:name="Tc_HTeQfTJbzEy96cStq6DE-w_28_15"/>
      <w:bookmarkStart w:id="1705" w:name="Tc_ThxVzWXs_kuu1TJ3ZtaHLw_28_12"/>
      <w:bookmarkStart w:id="1706" w:name="Tc_EDOKGRmsR0qRO5pPRVw4ew_28_9"/>
      <w:bookmarkStart w:id="1707" w:name="Tc_GVRdrGysEUCede8cHOP8Mg_28_6"/>
      <w:bookmarkStart w:id="1708" w:name="Tc_Duzma6_xZkyvPdxurgy43g_28_3"/>
      <w:bookmarkStart w:id="1709" w:name="Tc_swbAczLi5ku33bzxRLpu6Q_28_0"/>
      <w:bookmarkStart w:id="1710" w:name="Tc_6OS4gd7_zkSB5IzB3fp0Eg_27_24"/>
      <w:bookmarkStart w:id="1711" w:name="Tc_v3dNhYnVzkOiXtbRlq4aAQ_27_21"/>
      <w:bookmarkStart w:id="1712" w:name="Tc_Xg-6iqeTIUiDolvTHjl2YQ_27_12"/>
      <w:bookmarkStart w:id="1713" w:name="Tc_b-2GK_4bjkKgxwbNJvBpAg_27_0"/>
      <w:bookmarkStart w:id="1714" w:name="Tc_LI1srfjh4EK-j94xIfYtnQ_26_0"/>
      <w:bookmarkStart w:id="1715" w:name="Tc_0sCWm86HG029GiaQebMZVQ_24_27"/>
      <w:bookmarkStart w:id="1716" w:name="Tc_5K_DpWZX1UmV9rlcKll5FQ_24_24"/>
      <w:bookmarkStart w:id="1717" w:name="Tc_tofIPr41o0-cIbf3-itbkQ_24_21"/>
      <w:bookmarkStart w:id="1718" w:name="Tc_CuaCu8NhBk6uR9nsdyq2Qg_24_18"/>
      <w:bookmarkStart w:id="1719" w:name="Tc_-N8kbKaBpUCr94vpnh8F2g_24_15"/>
      <w:bookmarkStart w:id="1720" w:name="Tc_kR0rG2OaOUeEbI28p5xvSQ_24_12"/>
      <w:bookmarkStart w:id="1721" w:name="Tc_6DeB0lQT4kagHuIDNw9bpA_24_9"/>
      <w:bookmarkStart w:id="1722" w:name="Tc_2qd1exmoaEeO93HU3hMaaQ_24_6"/>
      <w:bookmarkStart w:id="1723" w:name="Tc_K1hTjdgnpkmFU_aRtJMXww_24_3"/>
      <w:bookmarkStart w:id="1724" w:name="Tc_WvgluiQOD0CtvB70_MrPxg_24_0"/>
      <w:bookmarkStart w:id="1725" w:name="Tc_9XpttPM0Y0aQPoUI5gUvmw_23_24"/>
      <w:bookmarkStart w:id="1726" w:name="Tc_-m2pGXymM0-f751IH0fBxA_23_21"/>
      <w:bookmarkStart w:id="1727" w:name="Tc_SHmd1BcGlUuyqdmTuw7wxA_23_18"/>
      <w:bookmarkStart w:id="1728" w:name="Tc_BUxyE9H_XEGBG8jPuqPVrA_23_0"/>
      <w:bookmarkStart w:id="1729" w:name="Tc_LOsn5LIUN0iVQJwqJBzF1Q_22_27"/>
      <w:bookmarkStart w:id="1730" w:name="Tc_sKvq5msV4k2vCJzjixaqFw_22_24"/>
      <w:bookmarkStart w:id="1731" w:name="Tc_b-scosz50kSkVJoT-KHPkg_22_21"/>
      <w:bookmarkStart w:id="1732" w:name="Tc_cV9Xy5Slk0SwRUqPNCyGOQ_22_18"/>
      <w:bookmarkStart w:id="1733" w:name="Tc_ds2mqsZkHkiPbULIYvl2dw_22_15"/>
      <w:bookmarkStart w:id="1734" w:name="Tc_1dseSFrsJkqlTSbZVYMmmw_22_12"/>
      <w:bookmarkStart w:id="1735" w:name="Tc_1zQo-8lVmEm_MWCSjtmLVA_22_9"/>
      <w:bookmarkStart w:id="1736" w:name="Tc_oDzEM2975Eqhs14bzA35PA_22_6"/>
      <w:bookmarkStart w:id="1737" w:name="Tc_3TPIHUeTNEi7EnMYQCaP4g_22_3"/>
      <w:bookmarkStart w:id="1738" w:name="Tc_4qJnuYm6ekqmhuzmqRr7Lg_22_0"/>
      <w:bookmarkStart w:id="1739" w:name="Tc_0aRiHxou80mfl6tysZFhJQ_21_27"/>
      <w:bookmarkStart w:id="1740" w:name="Tc__TQR66Me70CvrK1zQHhpNg_21_24"/>
      <w:bookmarkStart w:id="1741" w:name="Tc_MkYArFWVYkGEEfVqbRhy-w_21_21"/>
      <w:bookmarkStart w:id="1742" w:name="Tc_WXZL4L_fokugS8xjW5vE-g_21_18"/>
      <w:bookmarkStart w:id="1743" w:name="Tc_XsK4da9ZskCTNV8ATCoofQ_21_15"/>
      <w:bookmarkStart w:id="1744" w:name="Tc_DW0I4ryyVk-ss1a7VqFZig_21_12"/>
      <w:bookmarkStart w:id="1745" w:name="Tc_bWS57vHI4kuo4Zphu6eMkw_21_9"/>
      <w:bookmarkStart w:id="1746" w:name="Tc_r9iWg6ive0GiAjWPzbNTdA_21_6"/>
      <w:bookmarkStart w:id="1747" w:name="Tc__pEl6ULQpk--e2UtswgCZA_21_3"/>
      <w:bookmarkStart w:id="1748" w:name="Tc_VnVzlPYWxk2bcZ03VXEA_Q_21_0"/>
      <w:bookmarkStart w:id="1749" w:name="Tc_KiuGmlsDbUS5aqbxxA5_Dg_20_24"/>
      <w:bookmarkStart w:id="1750" w:name="Tc_gqbjUNivx0iBfVl7RskzoQ_20_21"/>
      <w:bookmarkStart w:id="1751" w:name="Tc_Waq5sdHTU0Knm4BXcDTBXA_20_18"/>
      <w:bookmarkStart w:id="1752" w:name="Tc_5DTe-AMnq0-3JudMZlkSGg_20_0"/>
      <w:bookmarkStart w:id="1753" w:name="Tc_EmbYR9LZCkqIMa1DiGF8kQ_19_0"/>
      <w:bookmarkStart w:id="1754" w:name="Tc_6Kb5eT9yC0CR-NG4nyYYiw_17_24"/>
      <w:bookmarkStart w:id="1755" w:name="Tc__Q-S2YdDVE27q0PjlF3JKg_17_21"/>
      <w:bookmarkStart w:id="1756" w:name="Tc___x7-1Z6WUKrxZi5XdrbAQ_17_12"/>
      <w:bookmarkStart w:id="1757" w:name="Tc_nPuj0Vk42EWC7PyywJB9Gg_17_9"/>
      <w:bookmarkStart w:id="1758" w:name="Tc_uh9R8tHpWkiqZ1_2Euxtxg_17_6"/>
      <w:bookmarkStart w:id="1759" w:name="Tc_-xMnzwSlFk-RF2Q6czA-qA_17_3"/>
      <w:bookmarkStart w:id="1760" w:name="Tc_MQoTs-XQr0GmlKHu5G5oEg_17_0"/>
      <w:bookmarkStart w:id="1761" w:name="Tc_PeYW5tfKvkSCtJi1STvzmA_16_24"/>
      <w:bookmarkStart w:id="1762" w:name="Tc_9gKWAmqcpUOLlP7baU6I1Q_16_0"/>
      <w:bookmarkStart w:id="1763" w:name="Tc_mW9vpDa640iABzD3i8Oz8w_15_24"/>
      <w:bookmarkStart w:id="1764" w:name="Tc_4H_VM5O8tUydpgjnZcv5Yg_15_21"/>
      <w:bookmarkStart w:id="1765" w:name="Tc_DRqGk2JnKUi5tAVPgHeNhg_15_6"/>
      <w:bookmarkStart w:id="1766" w:name="Tc_qJNOsUNNs0-E42C2CbyLVw_15_3"/>
      <w:bookmarkStart w:id="1767" w:name="Tc_IXMqT4n8E0qBOyPePcLm8g_15_0"/>
      <w:bookmarkStart w:id="1768" w:name="Tc_8RUy0JOdJU--oJYRnkmYnw_14_24"/>
      <w:bookmarkStart w:id="1769" w:name="Tc_p7xNR22LXk-8VAFt9cf3lg_14_21"/>
      <w:bookmarkStart w:id="1770" w:name="Tc_tAvQ6_KLFk6m5rW3y2CbDA_14_6"/>
      <w:bookmarkStart w:id="1771" w:name="Tc_p142QkNIykujSaqQeMjZRw_14_3"/>
      <w:bookmarkStart w:id="1772" w:name="Tc_DMd4fbo6UEK_n_n9pzXq7Q_14_0"/>
      <w:bookmarkStart w:id="1773" w:name="Tc_0DuxTLd6i0i5N8Arm2o7lg_13_24"/>
      <w:bookmarkStart w:id="1774" w:name="Tc_dYNEhfAQ-0ShY9gDPQmpyw_13_0"/>
      <w:bookmarkStart w:id="1775" w:name="Tc_eAsLRU_ARkapVgPfmhspGg_12_0"/>
      <w:bookmarkStart w:id="1776" w:name="Tc_r4278yBvSkaejMPVmO3Y7g_10_24"/>
      <w:bookmarkStart w:id="1777" w:name="Tc_Y4tVEJdJGEiUjanPeEXBvA_10_21"/>
      <w:bookmarkStart w:id="1778" w:name="Tc_aLTwyzleXUWU0sFKDueIBQ_10_15"/>
      <w:bookmarkStart w:id="1779" w:name="Tc_4ELxzuPOp0OavwsSAYRzAw_10_12"/>
      <w:bookmarkStart w:id="1780" w:name="Tc_dyBD359bAEqjFZ4WFyIFrA_10_6"/>
      <w:bookmarkStart w:id="1781" w:name="Tc_4jQwEdc6TkCpeDHoSUWuLg_10_0"/>
      <w:bookmarkStart w:id="1782" w:name="Tc_QQHF-OdN8UiYm7DPvrykuQ_9_24"/>
      <w:bookmarkStart w:id="1783" w:name="Tc_GDQRVMbNyE-3SWUEIUZFwQ_9_21"/>
      <w:bookmarkStart w:id="1784" w:name="Tc_q-LS9vOdCEmAhu92t7Lv6w_9_0"/>
      <w:bookmarkStart w:id="1785" w:name="Tc_x8tyQNrDm0m6ui5cug8RHw_8_24"/>
      <w:bookmarkStart w:id="1786" w:name="Tc_5mYFyRaNKkC-dJvBFHpXtw_8_21"/>
      <w:bookmarkStart w:id="1787" w:name="Tc_qTMv8lxA2UCZoVf4iKrRSw_8_3"/>
      <w:bookmarkStart w:id="1788" w:name="Tc_bb1DVipjzk2h9WQD4IGz4w_8_0"/>
      <w:bookmarkStart w:id="1789" w:name="Tc_xW0cTbzQ2UqapmQ-fv6nRg_7_24"/>
      <w:bookmarkStart w:id="1790" w:name="Tc_LRmRP__ZREW4gpMLeDwFaw_7_21"/>
      <w:bookmarkStart w:id="1791" w:name="Tc_hkE7Yq_r6UWxvbfp1PuJ4Q_7_15"/>
      <w:bookmarkStart w:id="1792" w:name="Tc_-PVOdG-B40Gto-0fWTyF-Q_7_9"/>
      <w:bookmarkStart w:id="1793" w:name="Tc_Ofw_-OdDl0aVbWMfRF6aWg_7_3"/>
      <w:bookmarkStart w:id="1794" w:name="Tc_lMVGEXAeKUOh7Qd-QeIC5g_7_0"/>
      <w:bookmarkStart w:id="1795" w:name="Tc_M2zdgxUw_kWRilG8uGttrA_6_26"/>
      <w:bookmarkStart w:id="1796" w:name="Tc_8jxRVJBt50i2g0LdCkIyXw_6_24"/>
      <w:bookmarkStart w:id="1797" w:name="Tc_NnG5VlrwU0iyb7OHd-jpvQ_6_23"/>
      <w:bookmarkStart w:id="1798" w:name="Tc_APuaoktazE6HO4Bp_BEvvA_6_21"/>
      <w:bookmarkStart w:id="1799" w:name="Tc_CpTXYwdZKkuyh4R2B7nJaw_6_20"/>
      <w:bookmarkStart w:id="1800" w:name="Tc_4LQprygOj0eIUH-vr3zKWA_6_17"/>
      <w:bookmarkStart w:id="1801" w:name="Tc_pvqx_NfiwEqOCs4rQTf-jw_6_14"/>
      <w:bookmarkStart w:id="1802" w:name="Tc_F9G3gGb4JkW_50KwxRUwyQ_6_11"/>
      <w:bookmarkStart w:id="1803" w:name="Tc_v67kXrExi0GtERn5423Tmg_6_8"/>
      <w:bookmarkStart w:id="1804" w:name="Tc_8R1XaCbOrUO8C63l5pK-sQ_6_5"/>
      <w:bookmarkStart w:id="1805" w:name="Tc_ijCIzvj3TUyUh6uNUW6k8Q_6_2"/>
      <w:bookmarkStart w:id="1806" w:name="Tc_UsFVwwXCHUe1U-EDr3Bu3g_6_0"/>
      <w:bookmarkStart w:id="1807" w:name="Tc_QVCFrbLgNUunxEMPxLBd9w_5_0"/>
      <w:bookmarkStart w:id="1808" w:name="Tc_3PxaJ3T0dUq_DFtdKLlp1Q_4_26"/>
      <w:bookmarkStart w:id="1809" w:name="Tc_kzARnArfuU2BTFnFK9usew_4_23"/>
      <w:bookmarkStart w:id="1810" w:name="Tc_EOL9_hGvj0K1Cs_mKang9A_4_20"/>
      <w:bookmarkStart w:id="1811" w:name="Tc_UUADbjOw102WteIiRhiCCA_4_17"/>
      <w:bookmarkStart w:id="1812" w:name="Tc_4WlaiDUSpE2yZAfexRJKgQ_4_14"/>
      <w:bookmarkStart w:id="1813" w:name="Tc_H1Ts7D16TECiyRBod1k1FQ_4_11"/>
      <w:bookmarkStart w:id="1814" w:name="Tc_OWnXS6u8YkOoEcVwabrTCg_4_8"/>
      <w:bookmarkStart w:id="1815" w:name="Tc_wtRUefB-5UWLWXKwtm3j5g_4_5"/>
      <w:bookmarkStart w:id="1816" w:name="Tc_tio4SVAxqkWqtqNuwLR5vw_4_2"/>
      <w:bookmarkStart w:id="1817" w:name="Tc_b9b6zsgCV06MkDACb6BR0Q_3_23"/>
      <w:bookmarkStart w:id="1818" w:name="Tc_vjUQilfF8UaCpRuhidWWgA_3_20"/>
      <w:bookmarkStart w:id="1819" w:name="Tc_CftkFiC7oEC3cS8S21WjNg_2_23"/>
      <w:bookmarkStart w:id="1820" w:name="_a8be1066_20b1_4e01_a04b_833dd86e43ea"/>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r>
        <w:rPr>
          <w:rFonts w:ascii="Times New Roman;Times;serif" w:hAnsi="Times New Roman;Times;serif"/>
          <w:sz w:val="20"/>
        </w:rPr>
        <w:t>The following tables summarize the Company’s loans by year of origination and internally assigned credit risk at June 30, 2026 and December 31, 2025 and gross charge-offs for the six months ended June 30, 2026 and the year ended December 31, 2025 (In thousands):</w:t>
      </w:r>
    </w:p>
    <w:p>
      <w:pPr>
        <w:pStyle w:val="TextBody"/>
        <w:bidi w:val="0"/>
        <w:spacing w:lineRule="atLeast" w:line="142" w:before="0" w:after="0"/>
        <w:ind w:left="0" w:right="0" w:hanging="0"/>
        <w:jc w:val="left"/>
        <w:rPr/>
      </w:pPr>
      <w:r>
        <w:rPr/>
        <w:t>​</w:t>
      </w:r>
    </w:p>
    <w:tbl>
      <w:tblPr>
        <w:tblW w:w="11015" w:type="dxa"/>
        <w:jc w:val="left"/>
        <w:tblInd w:w="0" w:type="dxa"/>
        <w:tblLayout w:type="fixed"/>
        <w:tblCellMar>
          <w:top w:w="0" w:type="dxa"/>
          <w:left w:w="0" w:type="dxa"/>
          <w:bottom w:w="0" w:type="dxa"/>
          <w:right w:w="0" w:type="dxa"/>
        </w:tblCellMar>
      </w:tblPr>
      <w:tblGrid>
        <w:gridCol w:w="976"/>
        <w:gridCol w:w="109"/>
        <w:gridCol w:w="196"/>
        <w:gridCol w:w="691"/>
        <w:gridCol w:w="109"/>
        <w:gridCol w:w="346"/>
        <w:gridCol w:w="691"/>
        <w:gridCol w:w="109"/>
        <w:gridCol w:w="346"/>
        <w:gridCol w:w="691"/>
        <w:gridCol w:w="109"/>
        <w:gridCol w:w="346"/>
        <w:gridCol w:w="691"/>
        <w:gridCol w:w="109"/>
        <w:gridCol w:w="346"/>
        <w:gridCol w:w="691"/>
        <w:gridCol w:w="109"/>
        <w:gridCol w:w="346"/>
        <w:gridCol w:w="691"/>
        <w:gridCol w:w="109"/>
        <w:gridCol w:w="206"/>
        <w:gridCol w:w="635"/>
        <w:gridCol w:w="109"/>
        <w:gridCol w:w="233"/>
        <w:gridCol w:w="608"/>
        <w:gridCol w:w="346"/>
        <w:gridCol w:w="196"/>
        <w:gridCol w:w="8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19760" cy="175260"/>
                      <wp:effectExtent l="0" t="0" r="0" b="0"/>
                      <wp:wrapNone/>
                      <wp:docPr id="378" name="Frame37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9215" cy="175260"/>
                      <wp:effectExtent l="0" t="0" r="0" b="0"/>
                      <wp:wrapNone/>
                      <wp:docPr id="379" name="Frame3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24460" cy="175260"/>
                      <wp:effectExtent l="0" t="0" r="0" b="0"/>
                      <wp:wrapNone/>
                      <wp:docPr id="380" name="Frame3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38785" cy="175260"/>
                      <wp:effectExtent l="0" t="0" r="0" b="0"/>
                      <wp:wrapNone/>
                      <wp:docPr id="381" name="Frame3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215" cy="175260"/>
                      <wp:effectExtent l="0" t="0" r="0" b="0"/>
                      <wp:wrapNone/>
                      <wp:docPr id="382" name="Frame3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38785" cy="175260"/>
                      <wp:effectExtent l="0" t="0" r="0" b="0"/>
                      <wp:wrapNone/>
                      <wp:docPr id="384" name="Frame3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9215" cy="175260"/>
                      <wp:effectExtent l="0" t="0" r="0" b="0"/>
                      <wp:wrapNone/>
                      <wp:docPr id="385" name="Frame3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38785" cy="175260"/>
                      <wp:effectExtent l="0" t="0" r="0" b="0"/>
                      <wp:wrapNone/>
                      <wp:docPr id="387" name="Frame3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38785" cy="175260"/>
                      <wp:effectExtent l="0" t="0" r="0" b="0"/>
                      <wp:wrapNone/>
                      <wp:docPr id="390" name="Frame3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9215" cy="175260"/>
                      <wp:effectExtent l="0" t="0" r="0" b="0"/>
                      <wp:wrapNone/>
                      <wp:docPr id="391" name="Frame3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9710" cy="175260"/>
                      <wp:effectExtent l="0" t="0" r="0" b="0"/>
                      <wp:wrapNone/>
                      <wp:docPr id="392"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38785" cy="175260"/>
                      <wp:effectExtent l="0" t="0" r="0" b="0"/>
                      <wp:wrapNone/>
                      <wp:docPr id="393" name="Frame3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38785" cy="175260"/>
                      <wp:effectExtent l="0" t="0" r="0" b="0"/>
                      <wp:wrapNone/>
                      <wp:docPr id="396" name="Frame3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0810" cy="175260"/>
                      <wp:effectExtent l="0" t="0" r="0" b="0"/>
                      <wp:wrapNone/>
                      <wp:docPr id="398" name="Frame39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03225" cy="175260"/>
                      <wp:effectExtent l="0" t="0" r="0" b="0"/>
                      <wp:wrapNone/>
                      <wp:docPr id="399" name="Frame399"/>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400"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7955" cy="175260"/>
                      <wp:effectExtent l="0" t="0" r="0" b="0"/>
                      <wp:wrapNone/>
                      <wp:docPr id="401" name="Frame40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86080" cy="175260"/>
                      <wp:effectExtent l="0" t="0" r="0" b="0"/>
                      <wp:wrapNone/>
                      <wp:docPr id="402" name="Frame402"/>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24460" cy="175260"/>
                      <wp:effectExtent l="0" t="0" r="0" b="0"/>
                      <wp:wrapNone/>
                      <wp:docPr id="404" name="Frame4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53085" cy="175260"/>
                      <wp:effectExtent l="0" t="0" r="0" b="0"/>
                      <wp:wrapNone/>
                      <wp:docPr id="405" name="Frame40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color w:val="0563C1"/>
              </w:rPr>
            </w:pPr>
            <w:r>
              <w:rPr>
                <w:color w:val="0563C1"/>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 to</w:t>
            </w:r>
          </w:p>
        </w:tc>
        <w:tc>
          <w:tcPr>
            <w:tcW w:w="346" w:type="dxa"/>
            <w:tcBorders/>
            <w:vAlign w:val="center"/>
          </w:tcPr>
          <w:p>
            <w:pPr>
              <w:pStyle w:val="TableContents"/>
              <w:bidi w:val="0"/>
              <w:spacing w:before="0" w:after="0"/>
              <w:ind w:left="0" w:right="0" w:hanging="0"/>
              <w:jc w:val="center"/>
              <w:rPr/>
            </w:pPr>
            <w:r>
              <w:rPr/>
              <w:t>  ​ ​ ​</w:t>
            </w:r>
          </w:p>
        </w:tc>
        <w:tc>
          <w:tcPr>
            <w:tcW w:w="1067" w:type="dxa"/>
            <w:gridSpan w:val="2"/>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Prior </w:t>
            </w:r>
          </w:p>
        </w:tc>
        <w:tc>
          <w:tcPr>
            <w:tcW w:w="109"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Term Loans </w:t>
            </w:r>
          </w:p>
        </w:tc>
        <w:tc>
          <w:tcPr>
            <w:tcW w:w="346" w:type="dxa"/>
            <w:tcBorders/>
            <w:vAlign w:val="center"/>
          </w:tcPr>
          <w:p>
            <w:pPr>
              <w:pStyle w:val="TableContents"/>
              <w:bidi w:val="0"/>
              <w:spacing w:before="0" w:after="0"/>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31,329</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33,766</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22,282</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31,093</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32,847</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71,469</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222,786</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7,549</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8,314</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16,460</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31,329</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34,263</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29,831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31,307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41,161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71,572</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239,463</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129,437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192,316</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128,550</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155,260</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281,401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526,131</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1,414,509</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4,080</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8,160</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8,339</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22,258</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42,837</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3,736</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16,449</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28,630</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49,190</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real estate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129,437</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192,316</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136,366</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163,795</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306,189</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577,019</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1,506,536</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real estate 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1,577</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45,548</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45,122</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4,614</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99,594</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real estate 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45,548</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45,122</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2,733</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99,594</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Residential real estate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3,654</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9,526</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21,432</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Residential real estate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3,654</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7,187</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9,526</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857</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21,432</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5,047</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6,211</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righ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Home Equity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5,845</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7,009</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8,865</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10,949</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11,432</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4,438</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36,228</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6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8,865</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10,949</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11,432</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w:t>
            </w:r>
          </w:p>
        </w:tc>
        <w:tc>
          <w:tcPr>
            <w:tcW w:w="10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4,438</w:t>
            </w:r>
          </w:p>
        </w:tc>
        <w:tc>
          <w:tcPr>
            <w:tcW w:w="109"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36,228</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6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Loans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174,862</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290,263</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220,891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209,267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352,821</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649,310</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11,697</w:t>
            </w:r>
          </w:p>
        </w:tc>
        <w:tc>
          <w:tcPr>
            <w:tcW w:w="109"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1,910,262</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9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Gross 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10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w:t>
            </w:r>
          </w:p>
        </w:tc>
      </w:tr>
      <w:tr>
        <w:trPr/>
        <w:tc>
          <w:tcPr>
            <w:tcW w:w="9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821" w:name="Tc_tsoCjBC3LEqjNmsnZgZUIw_49_26"/>
      <w:bookmarkStart w:id="1822" w:name="Tc_z7cu6OtKaEe2maYe77rZlw_49_24"/>
      <w:bookmarkStart w:id="1823" w:name="Tc_czVzbL1JY0mSA49d3zPVsQ_49_23"/>
      <w:bookmarkStart w:id="1824" w:name="Tc_acTdUyiUW0eyqDBPUplA5A_49_21"/>
      <w:bookmarkStart w:id="1825" w:name="Tc_wssWFitrD0G9Wo6M-gKteQ_49_20"/>
      <w:bookmarkStart w:id="1826" w:name="Tc_tmRnfmJUzkyleRarrbJSaA_49_17"/>
      <w:bookmarkStart w:id="1827" w:name="Tc_R9Fz1xbTJ0arGz05CwmLTQ_49_14"/>
      <w:bookmarkStart w:id="1828" w:name="Tc_Qn2sCsQ530qxzi7Rh35MFA_49_12"/>
      <w:bookmarkStart w:id="1829" w:name="Tc_NTJmMInZREOGKaqw3CGZMg_49_11"/>
      <w:bookmarkStart w:id="1830" w:name="Tc_sMcnH2mPHkOrb_VVY8SOTA_49_8"/>
      <w:bookmarkStart w:id="1831" w:name="Tc_iAj_zwaklE66ChWkzzu-mA_49_5"/>
      <w:bookmarkStart w:id="1832" w:name="Tc_3Q8eQITsZEeBiv1FtP713A_49_2"/>
      <w:bookmarkStart w:id="1833" w:name="Tc_uaSF0hLny0qjv40wdkca3A_49_0"/>
      <w:bookmarkStart w:id="1834" w:name="Tc_Q_fT6nGUIEOGlshogeziRw_47_26"/>
      <w:bookmarkStart w:id="1835" w:name="Tc_-eiaS5ccVkqokS6MZD0ToA_47_23"/>
      <w:bookmarkStart w:id="1836" w:name="Tc_tm5o1KqBZ0mnHfhOJ0HJYQ_47_20"/>
      <w:bookmarkStart w:id="1837" w:name="Tc_KSc0T7h-a02D6ELScBtTuA_47_17"/>
      <w:bookmarkStart w:id="1838" w:name="Tc_yZpoEGQDd0aOAHokNMcpLw_47_14"/>
      <w:bookmarkStart w:id="1839" w:name="Tc_pFz_pK49bkuqqj6fP3aZ6A_47_11"/>
      <w:bookmarkStart w:id="1840" w:name="Tc_SSGHqTlqHkuEYAaQtvsQKg_47_8"/>
      <w:bookmarkStart w:id="1841" w:name="Tc_irb-CJ1nuUG_Gvds82RurA_47_5"/>
      <w:bookmarkStart w:id="1842" w:name="Tc_sLkW6UJP-ku_yyRvpL76aA_47_2"/>
      <w:bookmarkStart w:id="1843" w:name="Tc_YZIOCXunc0KVWGZeXKQiig_47_0"/>
      <w:bookmarkStart w:id="1844" w:name="Tc_zKy227nHC0mHozFO0D5GcQ_45_24"/>
      <w:bookmarkStart w:id="1845" w:name="Tc_qYVUZV0YzUepk-Tce90L1Q_45_21"/>
      <w:bookmarkStart w:id="1846" w:name="Tc_rG4k4aiM2UOeJ6xNiAxngw_45_15"/>
      <w:bookmarkStart w:id="1847" w:name="Tc_0iTRuPfjJEiLGBvURXRsZw_45_12"/>
      <w:bookmarkStart w:id="1848" w:name="Tc_uN9-E3M9gU6yYTY8eXRWag_45_9"/>
      <w:bookmarkStart w:id="1849" w:name="Tc_bCGv5uw1xE-vqTOW_CczeA_45_6"/>
      <w:bookmarkStart w:id="1850" w:name="Tc_aMy9xQJdTUmHUsKQb8vakg_45_3"/>
      <w:bookmarkStart w:id="1851" w:name="Tc_wpVpHZm_CEKv6aG6u50tdA_45_0"/>
      <w:bookmarkStart w:id="1852" w:name="Tc_-m2xEHEgEECw_LaeznRxLQ_44_24"/>
      <w:bookmarkStart w:id="1853" w:name="Tc_560avv2snkaLMlonlLE8mw_44_15"/>
      <w:bookmarkStart w:id="1854" w:name="Tc_PPrmMdazrkaZ8heHOOgHEQ_44_12"/>
      <w:bookmarkStart w:id="1855" w:name="Tc_VZUAkTPozUGwqLEzaVWV-Q_44_0"/>
      <w:bookmarkStart w:id="1856" w:name="Tc_SjQSDwBarU6eHDK0msanKQ_43_27"/>
      <w:bookmarkStart w:id="1857" w:name="Tc_q9cAFHvlfkupjtBLVA4yuw_43_24"/>
      <w:bookmarkStart w:id="1858" w:name="Tc_eDNwgH_ll02Ti7BR2DYhzg_43_21"/>
      <w:bookmarkStart w:id="1859" w:name="Tc_qBea0BqkoUae3H55oFNigg_43_18"/>
      <w:bookmarkStart w:id="1860" w:name="Tc_nx05Fpcs9EmDmj62qUYAzA_43_15"/>
      <w:bookmarkStart w:id="1861" w:name="Tc_yhxFLdbH0U6c7riSSc7oUg_43_12"/>
      <w:bookmarkStart w:id="1862" w:name="Tc_hyVUindQRkqR3X-Fh0wNcA_43_9"/>
      <w:bookmarkStart w:id="1863" w:name="Tc_hYjvOKSqX0K63woFVW2QnQ_43_6"/>
      <w:bookmarkStart w:id="1864" w:name="Tc_JAYtE9pIKkKPb2IflJimsg_43_0"/>
      <w:bookmarkStart w:id="1865" w:name="Tc_137FC6rZkEG_fCn-34NxgQ_42_27"/>
      <w:bookmarkStart w:id="1866" w:name="Tc_DJaDdBeE5U6yApz6TYhvag_42_24"/>
      <w:bookmarkStart w:id="1867" w:name="Tc_7aBs2PmTE0uJqyvivGe12g_42_21"/>
      <w:bookmarkStart w:id="1868" w:name="Tc_MSO0SwOsLEurV-QdCrQwAA_42_18"/>
      <w:bookmarkStart w:id="1869" w:name="Tc_hyunKcuiA0eswiJD3tjobQ_42_15"/>
      <w:bookmarkStart w:id="1870" w:name="Tc_bdnJQp5f4kGEnRW3ncsQAg_42_12"/>
      <w:bookmarkStart w:id="1871" w:name="Tc_-H8HCd2oyUaC-LkgC81OOQ_42_9"/>
      <w:bookmarkStart w:id="1872" w:name="Tc_Td-4N4N-p0KNEL8ZGJRmcw_42_6"/>
      <w:bookmarkStart w:id="1873" w:name="Tc_dsy7wG_tWku8wCoMsMxzsg_42_3"/>
      <w:bookmarkStart w:id="1874" w:name="Tc_LlqVvDPzFEqPK6lHRtBuYQ_42_0"/>
      <w:bookmarkStart w:id="1875" w:name="Tc_8LnYf9uXY0GSeCAT4dXbrg_41_24"/>
      <w:bookmarkStart w:id="1876" w:name="Tc_qCDp31N_A0yO01mEzk3Mkw_41_15"/>
      <w:bookmarkStart w:id="1877" w:name="Tc_BN5eoF_HWEaPP2CKnYZJyw_41_12"/>
      <w:bookmarkStart w:id="1878" w:name="Tc_ORprMDQe3k6DMORCuJmQYw_41_0"/>
      <w:bookmarkStart w:id="1879" w:name="Tc_Pg4CkL5cH0y2hZOLiLikhA_40_0"/>
      <w:bookmarkStart w:id="1880" w:name="Tc_8Tfk8BiJp0C_PEICeUFjNA_38_27"/>
      <w:bookmarkStart w:id="1881" w:name="Tc_kRmEjZ845kGIseDce4-n2A_38_24"/>
      <w:bookmarkStart w:id="1882" w:name="Tc_GpPV1nXUrE-K8C72quBVBg_38_21"/>
      <w:bookmarkStart w:id="1883" w:name="Tc_djil_5ftzU2RoEj_QSS2_Q_38_18"/>
      <w:bookmarkStart w:id="1884" w:name="Tc_lcRetAuzRUizt3xX_9oNxw_38_15"/>
      <w:bookmarkStart w:id="1885" w:name="Tc_X3i6Soi2ZESPU-ALKYWXMg_38_12"/>
      <w:bookmarkStart w:id="1886" w:name="Tc_08QvHSNOekKGYvoJAKRdeA_38_9"/>
      <w:bookmarkStart w:id="1887" w:name="Tc_UjK7G71fhUeKfRvJGXX0GQ_38_6"/>
      <w:bookmarkStart w:id="1888" w:name="Tc_kIng8vIRlEmnpPc_Xdt1hA_38_3"/>
      <w:bookmarkStart w:id="1889" w:name="Tc_gIM467CPukSLIRDpBgyOdA_38_0"/>
      <w:bookmarkStart w:id="1890" w:name="Tc_OnlVJOcfykeI-aBVA39jwQ_37_15"/>
      <w:bookmarkStart w:id="1891" w:name="Tc_c_KCwyzRDEuRSHPkJel7UQ_37_12"/>
      <w:bookmarkStart w:id="1892" w:name="Tc_AMrTabIcwE6TQrCJ87OJNA_37_0"/>
      <w:bookmarkStart w:id="1893" w:name="Tc_pqRjZqYLPEqqekluYIV3Lg_36_24"/>
      <w:bookmarkStart w:id="1894" w:name="Tc_vNWPnAwm8kSgiqsyGBl_Cg_36_18"/>
      <w:bookmarkStart w:id="1895" w:name="Tc_O7b3fxP3WkO4FJoip6xBuQ_36_15"/>
      <w:bookmarkStart w:id="1896" w:name="Tc_gmYoAOxoqEmgOLFHmLrwQQ_36_12"/>
      <w:bookmarkStart w:id="1897" w:name="Tc_UlfxBoZwR0CQlo5OiIb-qg_36_9"/>
      <w:bookmarkStart w:id="1898" w:name="Tc_6RPVbmZe20aTXvQuhThHCA_36_6"/>
      <w:bookmarkStart w:id="1899" w:name="Tc_wip6PoEFo0eu-kWFOL_PGw_36_3"/>
      <w:bookmarkStart w:id="1900" w:name="Tc_nLLxNqmNUEi8xY4e6BE4lg_36_0"/>
      <w:bookmarkStart w:id="1901" w:name="Tc_DuIUcGqdyUCCXbkFZDwMfQ_35_27"/>
      <w:bookmarkStart w:id="1902" w:name="Tc_COvn-IUwT0K4padQ42eOUg_35_24"/>
      <w:bookmarkStart w:id="1903" w:name="Tc_ZAcJARNLm0-svi7LGu2qGg_35_21"/>
      <w:bookmarkStart w:id="1904" w:name="Tc_vz5kc6lIHkS5L6fqgwv7Vw_35_18"/>
      <w:bookmarkStart w:id="1905" w:name="Tc_xFWzyjgsIUeJn82cQV2Iyw_35_15"/>
      <w:bookmarkStart w:id="1906" w:name="Tc_YZtp1CKwh0WFPGg4t5LcWw_35_12"/>
      <w:bookmarkStart w:id="1907" w:name="Tc__QKeLllbGEe4MDaJkmEa7w_35_9"/>
      <w:bookmarkStart w:id="1908" w:name="Tc_HOxlAgCcNEmDTGb_9sk01A_35_6"/>
      <w:bookmarkStart w:id="1909" w:name="Tc_yUrhq_kqiUKhVK9ejmOtZQ_35_3"/>
      <w:bookmarkStart w:id="1910" w:name="Tc_Ec9CV8_j70WesUFNuvBe6g_35_0"/>
      <w:bookmarkStart w:id="1911" w:name="Tc_2PlKcfYFVECa-gweMg9kjw_34_15"/>
      <w:bookmarkStart w:id="1912" w:name="Tc_j-p2dlYmy0CpvwdUaXqNCw_34_12"/>
      <w:bookmarkStart w:id="1913" w:name="Tc_wraDjkwU3kyflsJa0kB8sw_34_0"/>
      <w:bookmarkStart w:id="1914" w:name="Tc_cS1_sM_-PkCKeDRSk7IEYA_33_0"/>
      <w:bookmarkStart w:id="1915" w:name="Tc_fv1LVFL8PkSVqIO8MN9J2A_31_24"/>
      <w:bookmarkStart w:id="1916" w:name="Tc_BKxIu8xhN0-YZG7hjUXvzQ_31_21"/>
      <w:bookmarkStart w:id="1917" w:name="Tc_5rZ9v7XmOEylBSnfOh7rGA_31_15"/>
      <w:bookmarkStart w:id="1918" w:name="Tc_SFihzcnQaUWQ99ZKOGfWVA_31_12"/>
      <w:bookmarkStart w:id="1919" w:name="Tc_mew33ATdPUaSDaEfZYIprQ_31_9"/>
      <w:bookmarkStart w:id="1920" w:name="Tc_AqxX8el0CUmCKzn7BtKlOw_31_6"/>
      <w:bookmarkStart w:id="1921" w:name="Tc_uqAiBnZWFkqqHHU_itheZQ_31_3"/>
      <w:bookmarkStart w:id="1922" w:name="Tc_MGCh2Hw4E0y9R4cCvCrVbg_31_0"/>
      <w:bookmarkStart w:id="1923" w:name="Tc_FrRkWE1t1k6iQkjzUNXq1A_30_24"/>
      <w:bookmarkStart w:id="1924" w:name="Tc_0LzrM7DmEkK7YnYwD2lTBA_30_21"/>
      <w:bookmarkStart w:id="1925" w:name="Tc_UiDxW7XcGUWcxuhskMnQkQ_30_0"/>
      <w:bookmarkStart w:id="1926" w:name="Tc_-Xi9QFsJK0e34p_ui_lkNA_29_24"/>
      <w:bookmarkStart w:id="1927" w:name="Tc_vvxXCsC2PE2K76YOnN06og_29_21"/>
      <w:bookmarkStart w:id="1928" w:name="Tc_YeDF_L3JQ0eiz22c-6miwQ_29_15"/>
      <w:bookmarkStart w:id="1929" w:name="Tc_RFRoiAONO0m1sD6GjWsF4g_29_12"/>
      <w:bookmarkStart w:id="1930" w:name="Tc_uCgqzze1XEWBOFwwo6ZDlA_29_9"/>
      <w:bookmarkStart w:id="1931" w:name="Tc_6LY0dgj0e0aH9sZzufZOxg_29_6"/>
      <w:bookmarkStart w:id="1932" w:name="Tc_qB4oXn6dnkqr2K0v2xqEkQ_29_3"/>
      <w:bookmarkStart w:id="1933" w:name="Tc_e_CFSH3H6UuI1eQoR7Fz4Q_29_0"/>
      <w:bookmarkStart w:id="1934" w:name="Tc_GNdd28APPUu9tueDi9ICrw_28_27"/>
      <w:bookmarkStart w:id="1935" w:name="Tc_QT-3jXKqAEys6tx4wr3giQ_28_24"/>
      <w:bookmarkStart w:id="1936" w:name="Tc_jfxRv5OqaEym6vlJgzyZYg_28_21"/>
      <w:bookmarkStart w:id="1937" w:name="Tc_G1sTMt9K-UeAMSJ6pc81jw_28_18"/>
      <w:bookmarkStart w:id="1938" w:name="Tc_wyrq4azZJUup-opoxiZBsQ_28_15"/>
      <w:bookmarkStart w:id="1939" w:name="Tc_nlPHim_JzUyTihefu-gZkA_28_12"/>
      <w:bookmarkStart w:id="1940" w:name="Tc_5ZE3P3LKLUGvLXbrGF-CGg_28_9"/>
      <w:bookmarkStart w:id="1941" w:name="Tc_5p4PJknjfEylNZk4Kw6USg_28_6"/>
      <w:bookmarkStart w:id="1942" w:name="Tc_2kQ6_rdhfUePlpNjkPOYmg_28_3"/>
      <w:bookmarkStart w:id="1943" w:name="Tc_Rhh0JtsYgEWJYDuO4X3cuQ_28_0"/>
      <w:bookmarkStart w:id="1944" w:name="Tc_e4LwVDclpkekLqT0dLJjMg_27_24"/>
      <w:bookmarkStart w:id="1945" w:name="Tc_PJ_ETH0iKUOvSforUJ8Pdw_27_21"/>
      <w:bookmarkStart w:id="1946" w:name="Tc_2H0sWi2K_0K4b7mPC9Piow_27_0"/>
      <w:bookmarkStart w:id="1947" w:name="Tc_AyPYP4obK0W6k-RG0drKtQ_26_0"/>
      <w:bookmarkStart w:id="1948" w:name="Tc_7JmXaa5a906nhjWkb7In6Q_24_27"/>
      <w:bookmarkStart w:id="1949" w:name="Tc_Fv4MPXdfRk-GJaCcS_uqxg_24_24"/>
      <w:bookmarkStart w:id="1950" w:name="Tc_KpIxNRW8a0K5t8WG8fSijg_24_21"/>
      <w:bookmarkStart w:id="1951" w:name="Tc_JCaOb4G_dUyXAooe1P7oLA_24_18"/>
      <w:bookmarkStart w:id="1952" w:name="Tc_HszMezyDl0W9MNz63mbkoQ_24_15"/>
      <w:bookmarkStart w:id="1953" w:name="Tc_WL3RwzhBzECOaGJ8SekZcA_24_12"/>
      <w:bookmarkStart w:id="1954" w:name="Tc_OQe3COJcBUiiz56YLvuciQ_24_9"/>
      <w:bookmarkStart w:id="1955" w:name="Tc_1mHzjPX19k-z-zbdNyqnYg_24_6"/>
      <w:bookmarkStart w:id="1956" w:name="Tc_hlWfqpYSVkayY3vncjbHGQ_24_3"/>
      <w:bookmarkStart w:id="1957" w:name="Tc_udKWbianQ0GRJyBtljEBiA_24_0"/>
      <w:bookmarkStart w:id="1958" w:name="Tc_prq0g8Pr1kC0MCm53kzpGQ_23_24"/>
      <w:bookmarkStart w:id="1959" w:name="Tc_OVEhRRFHO0uJEU_toVJesQ_23_21"/>
      <w:bookmarkStart w:id="1960" w:name="Tc_Y4wNWnC1QUSzlb9C83DoRA_23_18"/>
      <w:bookmarkStart w:id="1961" w:name="Tc_JyziXdfiqEmy4uwXe9iE1A_23_0"/>
      <w:bookmarkStart w:id="1962" w:name="Tc_FMCR2rDnXEKT2F32q3Ic4w_22_27"/>
      <w:bookmarkStart w:id="1963" w:name="Tc_Dc6szmZeiUusgpvGCKMs9Q_22_24"/>
      <w:bookmarkStart w:id="1964" w:name="Tc_s3xztwUiZkyx_1_VZfheGw_22_21"/>
      <w:bookmarkStart w:id="1965" w:name="Tc_jGa0qj97oEi1-xEKa90T9A_22_18"/>
      <w:bookmarkStart w:id="1966" w:name="Tc_gODCKBMItkiJIxY1mKmPcw_22_15"/>
      <w:bookmarkStart w:id="1967" w:name="Tc_IUfqLfOWZUuMy5rnsb8Tuw_22_12"/>
      <w:bookmarkStart w:id="1968" w:name="Tc_5VUQsA2nxUK6cnWqIEq9GA_22_9"/>
      <w:bookmarkStart w:id="1969" w:name="Tc_XGc3QpwYTkyNS674PByB_w_22_6"/>
      <w:bookmarkStart w:id="1970" w:name="Tc_WJtECUB1mECwEMNCVkKMdQ_22_3"/>
      <w:bookmarkStart w:id="1971" w:name="Tc_tISavF3oWUGbqPzw5jstDA_22_0"/>
      <w:bookmarkStart w:id="1972" w:name="Tc_E1I31rhHtk2YUDwm0DdTdg_21_27"/>
      <w:bookmarkStart w:id="1973" w:name="Tc_lyGGUb9Qe0SxEZyvdlXlig_21_24"/>
      <w:bookmarkStart w:id="1974" w:name="Tc_o86BqxAzUUSmLEB_YqwX_w_21_21"/>
      <w:bookmarkStart w:id="1975" w:name="Tc_FgjQOvaAS0S26lWSOGIcNg_21_18"/>
      <w:bookmarkStart w:id="1976" w:name="Tc_-8jby8HH-0CuUuiQnQOysw_21_15"/>
      <w:bookmarkStart w:id="1977" w:name="Tc_5UVCsZ_22UyWZjryP_T8AA_21_12"/>
      <w:bookmarkStart w:id="1978" w:name="Tc_3h9ptIMZb0yGEBsOXVooMw_21_9"/>
      <w:bookmarkStart w:id="1979" w:name="Tc_uTguJJ0tukCl97OtWPV8_w_21_6"/>
      <w:bookmarkStart w:id="1980" w:name="Tc_SqoBZRsACk2odK_U_4DrwQ_21_3"/>
      <w:bookmarkStart w:id="1981" w:name="Tc_CZzAgVUmKUifxWbOIHP3dg_21_0"/>
      <w:bookmarkStart w:id="1982" w:name="Tc_OjLR0jxcLE-THzBYR2njbA_20_24"/>
      <w:bookmarkStart w:id="1983" w:name="Tc_bxQECZJv-0SiXeH3CUVFGA_20_21"/>
      <w:bookmarkStart w:id="1984" w:name="Tc_bfCfWc0KS0C8dsA-zBd7gg_20_18"/>
      <w:bookmarkStart w:id="1985" w:name="Tc_GimMg8ip5kOtJE7pL3Uc2g_20_0"/>
      <w:bookmarkStart w:id="1986" w:name="Tc_Ty642y2rkE6X9DYaLwD_Jg_19_0"/>
      <w:bookmarkStart w:id="1987" w:name="Tc_NeC_fbg-EEqBMQOFFltYfQ_17_24"/>
      <w:bookmarkStart w:id="1988" w:name="Tc_WrVTU9ZKoEaMsKqp6il6yQ_17_21"/>
      <w:bookmarkStart w:id="1989" w:name="Tc_eAFABaWVCEmkTBF4uJATTQ_17_18"/>
      <w:bookmarkStart w:id="1990" w:name="Tc_7wasfiNu6UCQPo3zUvq4ow_17_12"/>
      <w:bookmarkStart w:id="1991" w:name="Tc_Pm_nK0iw5EuooT9yki9gLg_17_9"/>
      <w:bookmarkStart w:id="1992" w:name="Tc_i_09iuo1IUiqyIx7Fn1PwA_17_6"/>
      <w:bookmarkStart w:id="1993" w:name="Tc_u5dF4OEJCEGeZyNXD--QZA_17_3"/>
      <w:bookmarkStart w:id="1994" w:name="Tc_NjU_umPYQUS1Nt8bSF3R7g_17_0"/>
      <w:bookmarkStart w:id="1995" w:name="Tc_OtbCfl2lAU-THdcRRSzg9A_16_24"/>
      <w:bookmarkStart w:id="1996" w:name="Tc_fE_2GiatLk61SQk0DckKbQ_16_0"/>
      <w:bookmarkStart w:id="1997" w:name="Tc_ALfukBCd2kOrctdM0nb6aw_15_24"/>
      <w:bookmarkStart w:id="1998" w:name="Tc_afEP1SVv6EOWqnx_0oPXxg_15_21"/>
      <w:bookmarkStart w:id="1999" w:name="Tc_-rzNvervv0qazvI-pbqKQA_15_3"/>
      <w:bookmarkStart w:id="2000" w:name="Tc_iCQxu7dB8ES2vf9Oug8EhA_15_0"/>
      <w:bookmarkStart w:id="2001" w:name="Tc_pb5kxrC7ZEGlONcWW2kCMw_14_24"/>
      <w:bookmarkStart w:id="2002" w:name="Tc_CU6PNKBTbEmQwzLMF_ARMQ_14_21"/>
      <w:bookmarkStart w:id="2003" w:name="Tc_khTSzHQ2sEKaZNJ5uw1CbQ_14_3"/>
      <w:bookmarkStart w:id="2004" w:name="Tc_EG9czIRQF02Btj98o693Jg_14_0"/>
      <w:bookmarkStart w:id="2005" w:name="Tc_0ihOWhaQ80iWeiynsst1CA_13_24"/>
      <w:bookmarkStart w:id="2006" w:name="Tc_MPK1TLlu-ku9UGKcIWsJYg_13_0"/>
      <w:bookmarkStart w:id="2007" w:name="Tc_15HE4tVbRU6brmpNwk_fGA_12_0"/>
      <w:bookmarkStart w:id="2008" w:name="Tc_krDvqiEPkEKB_dYzfnT7KQ_10_24"/>
      <w:bookmarkStart w:id="2009" w:name="Tc_iIwnXi5Dt0e6uobdUImV8w_10_21"/>
      <w:bookmarkStart w:id="2010" w:name="Tc_JUcXDA4KJUeG-9hIrRLyBQ_10_12"/>
      <w:bookmarkStart w:id="2011" w:name="Tc_ixe09tmy7Um34MCSqkIvWg_10_0"/>
      <w:bookmarkStart w:id="2012" w:name="Tc_9Ngp55JCYUKo0i5vRS-DlQ_9_24"/>
      <w:bookmarkStart w:id="2013" w:name="Tc_SFH25KSouUWiip-VND82Uw_9_21"/>
      <w:bookmarkStart w:id="2014" w:name="Tc_gSk-9beF-kOFvXOo9Xo_yw_9_0"/>
      <w:bookmarkStart w:id="2015" w:name="Tc_-UNlqoyDl0W9AIprsjqF_Q_8_24"/>
      <w:bookmarkStart w:id="2016" w:name="Tc_nmBdBtcGREuN-T6NRKIciw_8_21"/>
      <w:bookmarkStart w:id="2017" w:name="Tc_JQzOXJ9NMUCXGN1demSPmg_8_0"/>
      <w:bookmarkStart w:id="2018" w:name="Tc_CaN5jOkVR0-G-iqQW-ghhg_7_24"/>
      <w:bookmarkStart w:id="2019" w:name="Tc_USdqQNaUbEWlkNlbogQQDA_7_21"/>
      <w:bookmarkStart w:id="2020" w:name="Tc_yPrlmtEfo0KyNxk-VX2ChQ_7_18"/>
      <w:bookmarkStart w:id="2021" w:name="Tc_CaItcDBunE62Qls7KufZRg_7_12"/>
      <w:bookmarkStart w:id="2022" w:name="Tc_otHxuKTlN06OW_GFmxJR4g_7_6"/>
      <w:bookmarkStart w:id="2023" w:name="Tc_HMhmmhwRIk6bA5WOCvNbIg_7_0"/>
      <w:bookmarkStart w:id="2024" w:name="Tc_4MTnyZLobk-TPPxta8ctgQ_6_26"/>
      <w:bookmarkStart w:id="2025" w:name="Tc_Bidzwrn2ZE-XJmmVKSi-uA_6_24"/>
      <w:bookmarkStart w:id="2026" w:name="Tc_8GKwPL1Qnk-1NpgQ0rgLoQ_6_23"/>
      <w:bookmarkStart w:id="2027" w:name="Tc_Ns9eYnHp4E-6c5rHDgJ9HA_6_21"/>
      <w:bookmarkStart w:id="2028" w:name="Tc_kMgcby45QUyqLchqPOjp3g_6_20"/>
      <w:bookmarkStart w:id="2029" w:name="Tc_tgoZHk9uiU6G3XN1l2Ob-Q_6_17"/>
      <w:bookmarkStart w:id="2030" w:name="Tc_Px2IWl-oYk2vFg_0bPtF8A_6_14"/>
      <w:bookmarkStart w:id="2031" w:name="Tc_O-2DF18NqES36b50U1Bc4g_6_11"/>
      <w:bookmarkStart w:id="2032" w:name="Tc_mi53FGsLS0SIRXuZ69YYbw_6_8"/>
      <w:bookmarkStart w:id="2033" w:name="Tc_ZnXQ8khI1kSraWIQn-rwKw_6_5"/>
      <w:bookmarkStart w:id="2034" w:name="Tc_eCKNz7gyxkGXhOv9TH6h0A_6_2"/>
      <w:bookmarkStart w:id="2035" w:name="Tc_qlQRndzb20qxhLpSuFzxAQ_6_0"/>
      <w:bookmarkStart w:id="2036" w:name="Tc_kyeW2ZbVhEGfrAkblOsEOA_5_0"/>
      <w:bookmarkStart w:id="2037" w:name="Tc_q__4CS9l9kSmqAWWujMJdw_4_26"/>
      <w:bookmarkStart w:id="2038" w:name="Tc_x3dE-gfPv0CEdIcNr6vKNg_4_23"/>
      <w:bookmarkStart w:id="2039" w:name="Tc_KcMwemAGFEC18neB92y-wg_4_20"/>
      <w:bookmarkStart w:id="2040" w:name="Tc_mKz_7cFmuEebwkgtOaGmqQ_4_17"/>
      <w:bookmarkStart w:id="2041" w:name="Tc_L192QIFKOEW6vSh7ElNAlQ_4_14"/>
      <w:bookmarkStart w:id="2042" w:name="Tc_DnAuoFjyOU-o-Fkw6NqgzQ_4_11"/>
      <w:bookmarkStart w:id="2043" w:name="Tc_4qDVHS179UuTUu-VDZnh3w_4_8"/>
      <w:bookmarkStart w:id="2044" w:name="Tc_pKGLPwBTm0q3j272dNmyzA_4_5"/>
      <w:bookmarkStart w:id="2045" w:name="Tc_YCFn0egDik-EBX8Q3b2iGQ_4_2"/>
      <w:bookmarkStart w:id="2046" w:name="Tc_mSXlUxjyTEOe-3mpXA-9lg_3_23"/>
      <w:bookmarkStart w:id="2047" w:name="Tc_oHTzVGk2v0KXoD3521CRCA_3_20"/>
      <w:bookmarkStart w:id="2048" w:name="Tc_47W2B2mL2EyvpOFNEzeCHA_2_23"/>
      <w:bookmarkStart w:id="2049" w:name="_efc3fced_e00c_4a9b_af9e_d63c960c6e4b"/>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r>
        <w:rPr/>
        <w:t>​</w:t>
      </w:r>
    </w:p>
    <w:tbl>
      <w:tblPr>
        <w:tblW w:w="11015" w:type="dxa"/>
        <w:jc w:val="left"/>
        <w:tblInd w:w="0" w:type="dxa"/>
        <w:tblLayout w:type="fixed"/>
        <w:tblCellMar>
          <w:top w:w="0" w:type="dxa"/>
          <w:left w:w="0" w:type="dxa"/>
          <w:bottom w:w="0" w:type="dxa"/>
          <w:right w:w="0" w:type="dxa"/>
        </w:tblCellMar>
      </w:tblPr>
      <w:tblGrid>
        <w:gridCol w:w="976"/>
        <w:gridCol w:w="109"/>
        <w:gridCol w:w="196"/>
        <w:gridCol w:w="691"/>
        <w:gridCol w:w="109"/>
        <w:gridCol w:w="346"/>
        <w:gridCol w:w="691"/>
        <w:gridCol w:w="109"/>
        <w:gridCol w:w="346"/>
        <w:gridCol w:w="691"/>
        <w:gridCol w:w="109"/>
        <w:gridCol w:w="346"/>
        <w:gridCol w:w="691"/>
        <w:gridCol w:w="109"/>
        <w:gridCol w:w="346"/>
        <w:gridCol w:w="691"/>
        <w:gridCol w:w="109"/>
        <w:gridCol w:w="346"/>
        <w:gridCol w:w="691"/>
        <w:gridCol w:w="109"/>
        <w:gridCol w:w="206"/>
        <w:gridCol w:w="635"/>
        <w:gridCol w:w="109"/>
        <w:gridCol w:w="233"/>
        <w:gridCol w:w="608"/>
        <w:gridCol w:w="346"/>
        <w:gridCol w:w="196"/>
        <w:gridCol w:w="8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19760" cy="175260"/>
                      <wp:effectExtent l="0" t="0" r="0" b="0"/>
                      <wp:wrapNone/>
                      <wp:docPr id="406" name="Frame40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9215" cy="175260"/>
                      <wp:effectExtent l="0" t="0" r="0" b="0"/>
                      <wp:wrapNone/>
                      <wp:docPr id="407" name="Frame4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24460" cy="175260"/>
                      <wp:effectExtent l="0" t="0" r="0" b="0"/>
                      <wp:wrapNone/>
                      <wp:docPr id="408" name="Frame4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38785" cy="175260"/>
                      <wp:effectExtent l="0" t="0" r="0" b="0"/>
                      <wp:wrapNone/>
                      <wp:docPr id="409" name="Frame4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4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38785" cy="175260"/>
                      <wp:effectExtent l="0" t="0" r="0" b="0"/>
                      <wp:wrapNone/>
                      <wp:docPr id="412" name="Frame4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413" name="Frame4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14"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38785" cy="175260"/>
                      <wp:effectExtent l="0" t="0" r="0" b="0"/>
                      <wp:wrapNone/>
                      <wp:docPr id="415" name="Frame4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38785" cy="175260"/>
                      <wp:effectExtent l="0" t="0" r="0" b="0"/>
                      <wp:wrapNone/>
                      <wp:docPr id="418" name="Frame4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20" name="Frame4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38785" cy="175260"/>
                      <wp:effectExtent l="0" t="0" r="0" b="0"/>
                      <wp:wrapNone/>
                      <wp:docPr id="421" name="Frame4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9710" cy="175260"/>
                      <wp:effectExtent l="0" t="0" r="0" b="0"/>
                      <wp:wrapNone/>
                      <wp:docPr id="423" name="Frame4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38785" cy="175260"/>
                      <wp:effectExtent l="0" t="0" r="0" b="0"/>
                      <wp:wrapNone/>
                      <wp:docPr id="424" name="Frame4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215" cy="175260"/>
                      <wp:effectExtent l="0" t="0" r="0" b="0"/>
                      <wp:wrapNone/>
                      <wp:docPr id="425" name="Frame4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0810" cy="175260"/>
                      <wp:effectExtent l="0" t="0" r="0" b="0"/>
                      <wp:wrapNone/>
                      <wp:docPr id="426" name="Frame4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03225" cy="175260"/>
                      <wp:effectExtent l="0" t="0" r="0" b="0"/>
                      <wp:wrapNone/>
                      <wp:docPr id="427" name="Frame427"/>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9215" cy="175260"/>
                      <wp:effectExtent l="0" t="0" r="0" b="0"/>
                      <wp:wrapNone/>
                      <wp:docPr id="428" name="Frame4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47955" cy="175260"/>
                      <wp:effectExtent l="0" t="0" r="0" b="0"/>
                      <wp:wrapNone/>
                      <wp:docPr id="429" name="Frame42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86080" cy="175260"/>
                      <wp:effectExtent l="0" t="0" r="0" b="0"/>
                      <wp:wrapNone/>
                      <wp:docPr id="430" name="Frame430"/>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24460" cy="175260"/>
                      <wp:effectExtent l="0" t="0" r="0" b="0"/>
                      <wp:wrapNone/>
                      <wp:docPr id="432" name="Frame4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53085" cy="175260"/>
                      <wp:effectExtent l="0" t="0" r="0" b="0"/>
                      <wp:wrapNone/>
                      <wp:docPr id="433" name="Frame43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76" w:type="dxa"/>
            <w:tcBorders/>
            <w:vAlign w:val="center"/>
          </w:tcPr>
          <w:p>
            <w:pPr>
              <w:pStyle w:val="TableContents"/>
              <w:bidi w:val="0"/>
              <w:spacing w:before="0" w:after="1"/>
              <w:ind w:left="0" w:right="0" w:hanging="0"/>
              <w:jc w:val="left"/>
              <w:rPr>
                <w:color w:val="0563C1"/>
              </w:rPr>
            </w:pPr>
            <w:r>
              <w:rPr>
                <w:color w:val="0563C1"/>
              </w:rPr>
              <w:t>​</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976" w:type="dxa"/>
            <w:tcBorders/>
            <w:vAlign w:val="center"/>
          </w:tcPr>
          <w:p>
            <w:pPr>
              <w:pStyle w:val="TableContents"/>
              <w:bidi w:val="0"/>
              <w:spacing w:before="0" w:after="1"/>
              <w:ind w:left="0" w:right="0" w:hanging="0"/>
              <w:jc w:val="left"/>
              <w:rPr>
                <w:color w:val="0563C1"/>
              </w:rPr>
            </w:pPr>
            <w:r>
              <w:rPr>
                <w:color w:val="0563C1"/>
              </w:rPr>
              <w:t>​</w:t>
            </w:r>
          </w:p>
        </w:tc>
        <w:tc>
          <w:tcPr>
            <w:tcW w:w="109" w:type="dxa"/>
            <w:tcBorders/>
            <w:vAlign w:val="center"/>
          </w:tcPr>
          <w:p>
            <w:pPr>
              <w:pStyle w:val="TableContents"/>
              <w:bidi w:val="0"/>
              <w:spacing w:before="0" w:after="1"/>
              <w:ind w:left="0" w:right="0" w:hanging="0"/>
              <w:jc w:val="left"/>
              <w:rPr>
                <w:color w:val="0563C1"/>
              </w:rPr>
            </w:pPr>
            <w:r>
              <w:rPr>
                <w:color w:val="0563C1"/>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Revolving</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 to</w:t>
            </w:r>
          </w:p>
        </w:tc>
        <w:tc>
          <w:tcPr>
            <w:tcW w:w="346" w:type="dxa"/>
            <w:tcBorders/>
            <w:vAlign w:val="center"/>
          </w:tcPr>
          <w:p>
            <w:pPr>
              <w:pStyle w:val="TableContents"/>
              <w:bidi w:val="0"/>
              <w:spacing w:before="0" w:after="1"/>
              <w:ind w:left="0" w:right="0" w:hanging="0"/>
              <w:jc w:val="center"/>
              <w:rPr/>
            </w:pPr>
            <w:r>
              <w:rPr/>
              <w:t>  ​ ​ ​</w:t>
            </w:r>
          </w:p>
        </w:tc>
        <w:tc>
          <w:tcPr>
            <w:tcW w:w="1067" w:type="dxa"/>
            <w:gridSpan w:val="2"/>
            <w:tcBorders/>
            <w:vAlign w:val="center"/>
          </w:tcPr>
          <w:p>
            <w:pPr>
              <w:pStyle w:val="TableContents"/>
              <w:bidi w:val="0"/>
              <w:spacing w:before="0" w:after="1"/>
              <w:ind w:left="0" w:right="0" w:hanging="0"/>
              <w:jc w:val="center"/>
              <w:rPr/>
            </w:pPr>
            <w:r>
              <w:rPr/>
              <w:t>​</w:t>
            </w:r>
          </w:p>
        </w:tc>
      </w:tr>
      <w:tr>
        <w:trPr/>
        <w:tc>
          <w:tcPr>
            <w:tcW w:w="9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vAlign w:val="center"/>
          </w:tcPr>
          <w:p>
            <w:pPr>
              <w:pStyle w:val="TableContents"/>
              <w:bidi w:val="0"/>
              <w:spacing w:before="0" w:after="1"/>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Prior </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Loans</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Term Loans </w:t>
            </w:r>
          </w:p>
        </w:tc>
        <w:tc>
          <w:tcPr>
            <w:tcW w:w="346" w:type="dxa"/>
            <w:tcBorders/>
            <w:vAlign w:val="center"/>
          </w:tcPr>
          <w:p>
            <w:pPr>
              <w:pStyle w:val="TableContents"/>
              <w:bidi w:val="0"/>
              <w:spacing w:before="0" w:after="1"/>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34,656</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30,928</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39,368</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29,142</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31,139</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59,705</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224,938</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575</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4,073</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3,402</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8,050</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7,636</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8,313</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16,645</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35,549</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38,564</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43,667</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37,455</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34,618</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59,780</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249,633</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2,694</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2,804</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6,022</w:t>
            </w:r>
          </w:p>
        </w:tc>
      </w:tr>
      <w:tr>
        <w:trPr/>
        <w:tc>
          <w:tcPr>
            <w:tcW w:w="9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real estate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192,543</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150,316</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157,063</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309,593</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216,546</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345,807</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1,572</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1,373,440</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4,116</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8,255</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24,243</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12,972</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50,372</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3,756</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379</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3,270</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17,446</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31,399</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56,250</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Commercial real estate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192,543</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158,188</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165,697</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337,106</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234,778</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390,178</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1,572</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1,480,062</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r>
      <w:tr>
        <w:trPr/>
        <w:tc>
          <w:tcPr>
            <w:tcW w:w="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Commercial real estate construction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33,376</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54,299</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1,900</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6,687</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99,262</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Commercial real estate construction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33,376</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54,299</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1,900</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6,687</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99,262</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9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Residential real estate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10,760</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5,320</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8,897</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9,765</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6,889</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23,658</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65,289</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Residential real estate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10,760</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5,320</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8,897</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9,765</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6,889</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23,659</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65,290</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Home equity</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right"/>
              <w:rPr/>
            </w:pPr>
            <w:r>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20,069</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21,808</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right"/>
              <w:rPr/>
            </w:pPr>
            <w:r>
              <w:rPr/>
              <w:t>​</w:t>
            </w:r>
          </w:p>
        </w:tc>
        <w:tc>
          <w:tcPr>
            <w:tcW w:w="6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Total Home Equity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20,879</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22,618</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9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Consumer</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6,276</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6,597</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14,144</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5,671</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33,419</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Special Mention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9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Consumer</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6,276</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6,597</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14,144</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w:t>
            </w:r>
          </w:p>
        </w:tc>
        <w:tc>
          <w:tcPr>
            <w:tcW w:w="109"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5,671</w:t>
            </w:r>
          </w:p>
        </w:tc>
        <w:tc>
          <w:tcPr>
            <w:tcW w:w="109" w:type="dxa"/>
            <w:tcBorders/>
            <w:vAlign w:val="center"/>
          </w:tcPr>
          <w:p>
            <w:pPr>
              <w:pStyle w:val="TableContents"/>
              <w:bidi w:val="0"/>
              <w:spacing w:before="0" w:after="1"/>
              <w:ind w:left="0" w:right="0" w:hanging="0"/>
              <w:jc w:val="right"/>
              <w:rPr/>
            </w:pPr>
            <w:r>
              <w:rPr/>
              <w:t>​</w:t>
            </w:r>
          </w:p>
        </w:tc>
        <w:tc>
          <w:tcPr>
            <w:tcW w:w="233" w:type="dxa"/>
            <w:tcBorders/>
            <w:vAlign w:val="center"/>
          </w:tcPr>
          <w:p>
            <w:pPr>
              <w:pStyle w:val="TableContents"/>
              <w:bidi w:val="0"/>
              <w:spacing w:before="0" w:after="1"/>
              <w:ind w:left="0" w:right="0" w:hanging="0"/>
              <w:jc w:val="right"/>
              <w:rPr/>
            </w:pPr>
            <w:r>
              <w:rPr/>
              <w:t>​</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33,419</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period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shd w:fill="CCEEFF" w:val="clear"/>
            <w:vAlign w:val="center"/>
          </w:tcPr>
          <w:p>
            <w:pPr>
              <w:pStyle w:val="TableContents"/>
              <w:bidi w:val="0"/>
              <w:spacing w:before="0" w:after="1"/>
              <w:ind w:left="0" w:right="0" w:hanging="0"/>
              <w:jc w:val="righ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shd w:fill="CCEEFF" w:val="clear"/>
            <w:vAlign w:val="center"/>
          </w:tcPr>
          <w:p>
            <w:pPr>
              <w:pStyle w:val="TableContents"/>
              <w:bidi w:val="0"/>
              <w:spacing w:before="0" w:after="1"/>
              <w:ind w:left="0" w:right="0" w:hanging="0"/>
              <w:jc w:val="right"/>
              <w:rPr/>
            </w:pPr>
            <w:r>
              <w:rPr/>
              <w:t>​</w:t>
            </w:r>
          </w:p>
        </w:tc>
        <w:tc>
          <w:tcPr>
            <w:tcW w:w="6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Loans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278,603</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263,342</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234,349</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391,013</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279,285</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474,387</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28,122</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1,950,284</w:t>
            </w:r>
          </w:p>
        </w:tc>
      </w:tr>
      <w:tr>
        <w:trPr/>
        <w:tc>
          <w:tcPr>
            <w:tcW w:w="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r>
        <w:trPr/>
        <w:tc>
          <w:tcPr>
            <w:tcW w:w="9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Gross charge-offs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2,694</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2,804</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w:t>
            </w:r>
          </w:p>
        </w:tc>
        <w:tc>
          <w:tcPr>
            <w:tcW w:w="109" w:type="dxa"/>
            <w:tcBorders/>
            <w:shd w:fill="CCEEFF" w:val="clear"/>
            <w:vAlign w:val="center"/>
          </w:tcPr>
          <w:p>
            <w:pPr>
              <w:pStyle w:val="TableContents"/>
              <w:bidi w:val="0"/>
              <w:spacing w:before="0" w:after="1"/>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w:t>
            </w:r>
          </w:p>
        </w:tc>
        <w:tc>
          <w:tcPr>
            <w:tcW w:w="109"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6,143</w:t>
            </w:r>
          </w:p>
        </w:tc>
      </w:tr>
      <w:tr>
        <w:trPr/>
        <w:tc>
          <w:tcPr>
            <w:tcW w:w="9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63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Loans and lines of credit to certain directors and principal officers of the Company, including their immediate families and companies in which they are affiliated, amounted to $13.5 million at June 30, 2026 and December 31, 2025.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i/>
          <w:sz w:val="20"/>
        </w:rPr>
        <w:t>Level 1</w:t>
      </w:r>
      <w:r>
        <w:rPr>
          <w:rFonts w:ascii="Times New Roman;Times;serif" w:hAnsi="Times New Roman;Times;serif"/>
          <w:sz w:val="20"/>
        </w:rPr>
        <w:t>: Quoted prices (unadjusted) for identical assets or liabilities in active markets that the entity has the ability to access as of the measurement date.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i/>
          <w:sz w:val="20"/>
        </w:rPr>
        <w:t xml:space="preserve">Level </w:t>
      </w:r>
      <w:r>
        <w:rPr>
          <w:rFonts w:ascii="Times New Roman;Times;serif" w:hAnsi="Times New Roman;Times;serif"/>
          <w:sz w:val="20"/>
        </w:rPr>
        <w:t>2: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bookmarkStart w:id="2050" w:name="Tc_ZBcS3IY0AUa3n2oqXEo3PQ_12_11"/>
      <w:bookmarkStart w:id="2051" w:name="Tc_zwnAtSIZ3kCFRyIRHQB5wg_12_8"/>
      <w:bookmarkStart w:id="2052" w:name="Tc_37ra4aY8JkOnxgR1ZDr5SA_12_6"/>
      <w:bookmarkStart w:id="2053" w:name="Tc_wdQuRDECWkaImbdWINTr2w_12_5"/>
      <w:bookmarkStart w:id="2054" w:name="Tc_sPXDh_mCpEG9j5NzxQH4lQ_12_2"/>
      <w:bookmarkStart w:id="2055" w:name="Tc_7-qulOMElkGgZPqym9tetw_12_0"/>
      <w:bookmarkStart w:id="2056" w:name="Tc_h3gtkR0x_EmaViboXJvUog_11_12"/>
      <w:bookmarkStart w:id="2057" w:name="Tc_sy2sn-9jREePBkd76BX-YA_11_6"/>
      <w:bookmarkStart w:id="2058" w:name="Tc_Rc98JURqWk2VWkCr3aOwnQ_11_0"/>
      <w:bookmarkStart w:id="2059" w:name="Tc_u6nUqTAfFkeWmXDl8X40jQ_10_6"/>
      <w:bookmarkStart w:id="2060" w:name="Tc_-ahuBydp_kWYUr1nIVnfmg_10_0"/>
      <w:bookmarkStart w:id="2061" w:name="Tc_4uDPUpUUlEevleDJNNWhFA_9_12"/>
      <w:bookmarkStart w:id="2062" w:name="Tc_wFXYmJMNNUGd0mxzhMmlpw_9_6"/>
      <w:bookmarkStart w:id="2063" w:name="Tc_nNXr8IRrrkqKLjG_EqenYw_9_0"/>
      <w:bookmarkStart w:id="2064" w:name="Tc_kKLGnltHoUabCDSbyDdYvg_8_12"/>
      <w:bookmarkStart w:id="2065" w:name="Tc_MBVkwZuqH0uU1mJUlQ7O9A_8_11"/>
      <w:bookmarkStart w:id="2066" w:name="Tc_g_KP0ZbJIESngmi-qom-tg_8_8"/>
      <w:bookmarkStart w:id="2067" w:name="Tc_DmIwrjF8aka2WXRYcnb3Bw_8_6"/>
      <w:bookmarkStart w:id="2068" w:name="Tc_o0MGPPGTBE2eEmHdm8r9fA_8_5"/>
      <w:bookmarkStart w:id="2069" w:name="Tc_GsL9vqCV2EeJtLMzCefDYw_8_2"/>
      <w:bookmarkStart w:id="2070" w:name="Tc_38LDaXKEMkSy4_168409tA_8_0"/>
      <w:bookmarkStart w:id="2071" w:name="Tc_bmVqZc45Y0WsxiFK8aUKag_7_2"/>
      <w:bookmarkStart w:id="2072" w:name="Tc_Z0O_xjfP20utirxNgxvuAw_6_11"/>
      <w:bookmarkStart w:id="2073" w:name="Tc_BoPVWJlA7UWHfKlYLYq2Mg_6_8"/>
      <w:bookmarkStart w:id="2074" w:name="Tc_2NDnXrCm2U6Ei1jZjctHYw_6_5"/>
      <w:bookmarkStart w:id="2075" w:name="Tc_N0jeIrxd4EKD4cts7wqVrQ_6_2"/>
      <w:bookmarkStart w:id="2076" w:name="Tc_OIY-EPYKgE25QUVPYqVF6w_5_11"/>
      <w:bookmarkStart w:id="2077" w:name="Tc_B7Pcc2TICUu-j3v5odOueg_5_8"/>
      <w:bookmarkStart w:id="2078" w:name="Tc_jGwZ9DiWh0eg4-A_6zSTAQ_5_5"/>
      <w:bookmarkStart w:id="2079" w:name="Tc_ujPgjuVUik2jD8_eNayjsA_5_2"/>
      <w:bookmarkStart w:id="2080" w:name="Tc_AHucazyj0kK2MVavapctzw_4_11"/>
      <w:bookmarkStart w:id="2081" w:name="Tc_RJWUOqw-J02VWJZGb0RCwg_4_8"/>
      <w:bookmarkStart w:id="2082" w:name="Tc_nZi3A0nFUUmLo_FgrfLDhQ_4_5"/>
      <w:bookmarkStart w:id="2083" w:name="Tc_V9rcu9RNwkGLRQa3u6QGag_4_2"/>
      <w:bookmarkStart w:id="2084" w:name="Tc_kHXfRlGB7UK6P9Eywc0P8A_3_11"/>
      <w:bookmarkStart w:id="2085" w:name="Tc_Gy2C2pzoAUOk8k_4mgqNfA_3_8"/>
      <w:bookmarkStart w:id="2086" w:name="Tc_atR9I7KWuUeaazgbbQTY3Q_3_5"/>
      <w:bookmarkStart w:id="2087" w:name="Tc_PKSDeWw5kUqrEzIxssQizQ_2_5"/>
      <w:bookmarkStart w:id="2088" w:name="Tc_jLthxCBr2UyQT3JylrDb6w_1_5"/>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r>
        <w:rPr>
          <w:rFonts w:ascii="Times New Roman;Times;serif" w:hAnsi="Times New Roman;Times;serif"/>
          <w:i/>
          <w:sz w:val="20"/>
        </w:rPr>
        <w:t>Level 3</w:t>
      </w:r>
      <w:r>
        <w:rPr>
          <w:rFonts w:ascii="Times New Roman;Times;serif" w:hAnsi="Times New Roman;Times;serif"/>
          <w:sz w:val="20"/>
        </w:rPr>
        <w:t>: Significant unobservable inputs that reflect a company’s own assumptions about the assumptions that market participants would use in pricing an asset or liability.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used the following methods and significant assumptions to estimate fair value:</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i/>
          <w:sz w:val="20"/>
        </w:rPr>
        <w:t>Investment Securities:  </w:t>
      </w:r>
      <w:r>
        <w:rPr>
          <w:rFonts w:ascii="Times New Roman;Times;serif" w:hAnsi="Times New Roman;Times;serif"/>
          <w:sz w:val="20"/>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i/>
          <w:sz w:val="20"/>
        </w:rPr>
        <w:t xml:space="preserve">Individually Evaluated, or Collateral Dependent Loans and Other Real Estate Owned: </w:t>
      </w:r>
      <w:r>
        <w:rPr>
          <w:rFonts w:ascii="Times New Roman;Times;serif" w:hAnsi="Times New Roman;Times;serif"/>
          <w:sz w:val="20"/>
        </w:rPr>
        <w:t>The fair value of collateral dependent loans that are individually evaluated for impairment is generally based on recent real estate appraisals. These appraisals may utilize a single valuation approach or a combination of approaches including comparable sales and the income approach and resulted in a Level 3 classification of the inputs for determining fair value.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 Collateral dependent loans are evaluated on a quarterly basis for additional impairment and adjusted in accordance with the allowance policy.</w:t>
      </w:r>
    </w:p>
    <w:p>
      <w:pPr>
        <w:pStyle w:val="TextBody"/>
        <w:bidi w:val="0"/>
        <w:spacing w:before="0" w:after="240"/>
        <w:ind w:left="0" w:right="0" w:firstLine="399"/>
        <w:jc w:val="both"/>
        <w:rPr>
          <w:rFonts w:ascii="Times New Roman;Times;serif" w:hAnsi="Times New Roman;Times;serif"/>
          <w:sz w:val="20"/>
        </w:rPr>
      </w:pPr>
      <w:r>
        <w:rPr>
          <w:rFonts w:ascii="Times New Roman;Times;serif" w:hAnsi="Times New Roman;Times;serif"/>
          <w:sz w:val="20"/>
        </w:rPr>
        <w:t>Appraisals are performed by certified general appraisers (for commercial properties) or certified residential appraisers (for residential properties) whose qualifications and licenses have been reviewed and verified by a third-party appraisal management company that the Company has engaged in accordance with internal vendor management policies and approval of  the Company’s Board of  Directors. Once received, the appraisal review function is conducted by the appraisal management company and consists of a review of the assumptions and approaches utilized in the appraisal as well as the overall resulting fair value in comparison with independent data sources such as recent market data or industry-wide statistics. Through this review, the appraisal management company evaluates the validity of the appraised value and the strength of the conclusions; which are subsequently confirmed by a member of the Credit Department. Discounts to the appraised value are then applied to recognize the carrying costs incurred until disposition, realtor fees, deterioration in the quality of the asset, and the age of the appraisal. The net effect of these adjustments were included in the charge-off to the allowance upon acquisition of the foreclosed property and/or upon partial charge-off of the collateral dependent loan. The most recent analysis of property appraisals including the appropriate discount rates are incorporated into the allowance methodology for the respective loan portfolio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Assets and liabilities measured at fair value on a recurring basis are summarized below:</w:t>
      </w:r>
    </w:p>
    <w:p>
      <w:pPr>
        <w:pStyle w:val="TextBody"/>
        <w:bidi w:val="0"/>
        <w:spacing w:before="0" w:after="0"/>
        <w:ind w:left="0" w:right="0" w:hanging="0"/>
        <w:jc w:val="left"/>
        <w:rPr/>
      </w:pPr>
      <w:r>
        <w:rPr/>
        <w:t>​</w:t>
      </w:r>
    </w:p>
    <w:tbl>
      <w:tblPr>
        <w:tblW w:w="9503" w:type="dxa"/>
        <w:jc w:val="left"/>
        <w:tblInd w:w="0" w:type="dxa"/>
        <w:tblLayout w:type="fixed"/>
        <w:tblCellMar>
          <w:top w:w="0" w:type="dxa"/>
          <w:left w:w="0" w:type="dxa"/>
          <w:bottom w:w="0" w:type="dxa"/>
          <w:right w:w="0" w:type="dxa"/>
        </w:tblCellMar>
      </w:tblPr>
      <w:tblGrid>
        <w:gridCol w:w="3421"/>
        <w:gridCol w:w="346"/>
        <w:gridCol w:w="196"/>
        <w:gridCol w:w="691"/>
        <w:gridCol w:w="346"/>
        <w:gridCol w:w="471"/>
        <w:gridCol w:w="834"/>
        <w:gridCol w:w="346"/>
        <w:gridCol w:w="301"/>
        <w:gridCol w:w="1064"/>
        <w:gridCol w:w="346"/>
        <w:gridCol w:w="274"/>
        <w:gridCol w:w="867"/>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72335" cy="175260"/>
                      <wp:effectExtent l="0" t="0" r="0" b="0"/>
                      <wp:wrapNone/>
                      <wp:docPr id="434" name="Frame43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24460" cy="175260"/>
                      <wp:effectExtent l="0" t="0" r="0" b="0"/>
                      <wp:wrapNone/>
                      <wp:docPr id="436" name="Frame4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38785" cy="175260"/>
                      <wp:effectExtent l="0" t="0" r="0" b="0"/>
                      <wp:wrapNone/>
                      <wp:docPr id="437" name="Frame4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99085" cy="175260"/>
                      <wp:effectExtent l="0" t="0" r="0" b="0"/>
                      <wp:wrapNone/>
                      <wp:docPr id="439" name="Frame439"/>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29590" cy="175260"/>
                      <wp:effectExtent l="0" t="0" r="0" b="0"/>
                      <wp:wrapNone/>
                      <wp:docPr id="440" name="Frame44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441"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91135" cy="175260"/>
                      <wp:effectExtent l="0" t="0" r="0" b="0"/>
                      <wp:wrapNone/>
                      <wp:docPr id="442" name="Frame44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75640" cy="175260"/>
                      <wp:effectExtent l="0" t="0" r="0" b="0"/>
                      <wp:wrapNone/>
                      <wp:docPr id="443" name="Frame443"/>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73990" cy="175260"/>
                      <wp:effectExtent l="0" t="0" r="0" b="0"/>
                      <wp:wrapNone/>
                      <wp:docPr id="445" name="Frame44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50545" cy="175260"/>
                      <wp:effectExtent l="0" t="0" r="0" b="0"/>
                      <wp:wrapNone/>
                      <wp:docPr id="446" name="Frame446"/>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5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  ​ ​ ​</w:t>
            </w:r>
          </w:p>
        </w:tc>
        <w:tc>
          <w:tcPr>
            <w:tcW w:w="301" w:type="dxa"/>
            <w:tcBorders/>
            <w:vAlign w:val="center"/>
          </w:tcPr>
          <w:p>
            <w:pPr>
              <w:pStyle w:val="TableContents"/>
              <w:bidi w:val="0"/>
              <w:spacing w:before="0" w:after="0"/>
              <w:ind w:left="0" w:right="0" w:hanging="0"/>
              <w:jc w:val="center"/>
              <w:rPr/>
            </w:pPr>
            <w:r>
              <w:rPr/>
              <w:t>​</w:t>
            </w:r>
          </w:p>
        </w:tc>
        <w:tc>
          <w:tcPr>
            <w:tcW w:w="10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74"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left"/>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950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3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U.S. government agencies and treasuries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57,513</w:t>
            </w:r>
          </w:p>
        </w:tc>
        <w:tc>
          <w:tcPr>
            <w:tcW w:w="346" w:type="dxa"/>
            <w:tcBorders/>
            <w:shd w:fill="CCEEFF" w:val="clear"/>
            <w:vAlign w:val="center"/>
          </w:tcPr>
          <w:p>
            <w:pPr>
              <w:pStyle w:val="TableContents"/>
              <w:bidi w:val="0"/>
              <w:spacing w:before="0" w:after="0"/>
              <w:ind w:left="0" w:right="0" w:hanging="0"/>
              <w:jc w:val="left"/>
              <w:rPr/>
            </w:pPr>
            <w:r>
              <w:rPr/>
              <w:t>​</w:t>
            </w:r>
          </w:p>
        </w:tc>
        <w:tc>
          <w:tcPr>
            <w:tcW w:w="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57,513</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Mortgage-backed securities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234,380</w:t>
            </w:r>
          </w:p>
        </w:tc>
        <w:tc>
          <w:tcPr>
            <w:tcW w:w="346"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234,380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22,240</w:t>
            </w:r>
          </w:p>
        </w:tc>
        <w:tc>
          <w:tcPr>
            <w:tcW w:w="346" w:type="dxa"/>
            <w:tcBorders/>
            <w:shd w:fill="CCEEFF" w:val="clear"/>
            <w:vAlign w:val="center"/>
          </w:tcPr>
          <w:p>
            <w:pPr>
              <w:pStyle w:val="TableContents"/>
              <w:bidi w:val="0"/>
              <w:spacing w:before="0" w:after="0"/>
              <w:ind w:left="0" w:right="0" w:hanging="0"/>
              <w:jc w:val="left"/>
              <w:rPr/>
            </w:pPr>
            <w:r>
              <w:rPr/>
              <w:t>​</w:t>
            </w:r>
          </w:p>
        </w:tc>
        <w:tc>
          <w:tcPr>
            <w:tcW w:w="47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21,014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1,226</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of states and political subdivisions</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81,773</w:t>
            </w:r>
          </w:p>
        </w:tc>
        <w:tc>
          <w:tcPr>
            <w:tcW w:w="346" w:type="dxa"/>
            <w:tcBorders/>
            <w:vAlign w:val="center"/>
          </w:tcPr>
          <w:p>
            <w:pPr>
              <w:pStyle w:val="TableContents"/>
              <w:bidi w:val="0"/>
              <w:spacing w:before="0" w:after="0"/>
              <w:ind w:left="0" w:right="0" w:hanging="0"/>
              <w:jc w:val="left"/>
              <w:rPr/>
            </w:pPr>
            <w:r>
              <w:rPr/>
              <w:t>​</w:t>
            </w:r>
          </w:p>
        </w:tc>
        <w:tc>
          <w:tcPr>
            <w:tcW w:w="4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81,773</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securities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395,906</w:t>
            </w:r>
          </w:p>
        </w:tc>
        <w:tc>
          <w:tcPr>
            <w:tcW w:w="346" w:type="dxa"/>
            <w:tcBorders/>
            <w:shd w:fill="CCEEFF" w:val="clear"/>
            <w:vAlign w:val="center"/>
          </w:tcPr>
          <w:p>
            <w:pPr>
              <w:pStyle w:val="TableContents"/>
              <w:bidi w:val="0"/>
              <w:spacing w:before="0" w:after="0"/>
              <w:ind w:left="0" w:right="0" w:hanging="0"/>
              <w:jc w:val="left"/>
              <w:rPr/>
            </w:pPr>
            <w:r>
              <w:rPr/>
              <w:t>​</w:t>
            </w:r>
          </w:p>
        </w:tc>
        <w:tc>
          <w:tcPr>
            <w:tcW w:w="4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394,680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2089" w:name="Tc_3-3Qx8ScnEyNe2h5IyG3jA_4_9"/>
      <w:bookmarkStart w:id="2090" w:name="Tc_aMq6XBM-WEeDXvTfUBUJZg_4_7"/>
      <w:bookmarkStart w:id="2091" w:name="Tc_NceZVFnZT0qkUEFjkd5XTw_3_9"/>
      <w:bookmarkStart w:id="2092" w:name="Tc_rQC2X1JBgkOiHLGlHHzuPA_3_7"/>
      <w:bookmarkStart w:id="2093" w:name="Tc_SXsumMw160ewyW-v96wq-A_3_5"/>
      <w:bookmarkStart w:id="2094" w:name="Tc_q4pKi0xb-EKD06GjNRMOTQ_3_2"/>
      <w:bookmarkStart w:id="2095" w:name="Tc_t0jxX58askau2VHz4iQ6Ew_3_0"/>
      <w:bookmarkStart w:id="2096" w:name="Tc_eBgPmREGJUKX32Jc41i7EQ_2_9"/>
      <w:bookmarkStart w:id="2097" w:name="Tc_H9Zm5a8pDkyvZDl5Imth9g_2_7"/>
      <w:bookmarkStart w:id="2098" w:name="Tc_hjooRA3fWUuV7CpOw7d-1Q_2_5"/>
      <w:bookmarkStart w:id="2099" w:name="Tc_9SMGpyf9DEeIKrR4inxUGA_2_2"/>
      <w:bookmarkStart w:id="2100" w:name="Tc_pnVbecbPw0aJKGIZnQKcHQ_2_0"/>
      <w:bookmarkStart w:id="2101" w:name="Tc_bEdldMQOgkOe33UyQVhyuA_1_9"/>
      <w:bookmarkStart w:id="2102" w:name="Tc_NNHsZtQYakqB7zYSceUukw_1_2"/>
      <w:bookmarkStart w:id="2103" w:name="_f381fb85_cbed_4d5e_857b_08b4b525099b"/>
      <w:bookmarkStart w:id="2104" w:name="Tc_n0WXadyi_UKSiHa49rVbRA_4_9"/>
      <w:bookmarkStart w:id="2105" w:name="Tc__JTRaGgEqku7q0VsYfxq9A_4_7"/>
      <w:bookmarkStart w:id="2106" w:name="Tc_kZUgfNmbwEm24defPwE96Q_3_9"/>
      <w:bookmarkStart w:id="2107" w:name="Tc_mEh5HPbfuU29rJYo96dsIQ_3_7"/>
      <w:bookmarkStart w:id="2108" w:name="Tc_svwS3Wh_S0C2j_b_W3Jn2A_3_5"/>
      <w:bookmarkStart w:id="2109" w:name="Tc_cL2zsy5Z30uCq5DnVCL7-w_3_2"/>
      <w:bookmarkStart w:id="2110" w:name="Tc_J0_QSBiSjkutcv2PRuyicA_3_0"/>
      <w:bookmarkStart w:id="2111" w:name="Tc_jgyolhpbXUaQVqtTjAA-PQ_2_9"/>
      <w:bookmarkStart w:id="2112" w:name="Tc_demdGcheP0CiCDC6xfjlhw_2_7"/>
      <w:bookmarkStart w:id="2113" w:name="Tc_0-VarztOu0iS1AkfsW8LYQ_2_5"/>
      <w:bookmarkStart w:id="2114" w:name="Tc_t8H0KFfiMU-DSJrRLrGFqg_2_2"/>
      <w:bookmarkStart w:id="2115" w:name="Tc_53UT5Rtoc0O_Xf7edD9X-g_2_0"/>
      <w:bookmarkStart w:id="2116" w:name="Tc_iP8hzfb4mEeFf6w7CG548A_1_9"/>
      <w:bookmarkStart w:id="2117" w:name="Tc_ReixmzV3LEi-s4j_45NQWw_1_2"/>
      <w:bookmarkStart w:id="2118" w:name="_5e0a432f_86c2_499c_ac3c_9cc104e170aa"/>
      <w:bookmarkStart w:id="2119" w:name="Tc_ADBWlCzAfkmlN8uJ8nkOdA_6_11"/>
      <w:bookmarkStart w:id="2120" w:name="Tc_Q2qSaTgxpUqKKpx1aEAV7g_6_9"/>
      <w:bookmarkStart w:id="2121" w:name="Tc_pxLIfs9jtUmftKeNuAQnCA_6_8"/>
      <w:bookmarkStart w:id="2122" w:name="Tc_mSvoXmlugUiKMnK17Sm3MA_6_6"/>
      <w:bookmarkStart w:id="2123" w:name="Tc_mz6AjY_A3k-rprFpfbSGyg_6_5"/>
      <w:bookmarkStart w:id="2124" w:name="Tc_uZEo8BdAXUGDd3OoYaevBA_6_2"/>
      <w:bookmarkStart w:id="2125" w:name="Tc_q68FjWS4G0yYjDVKh1ZD8w_6_0"/>
      <w:bookmarkStart w:id="2126" w:name="Tc_xte-Pkx8r0eMYVx0Q28E6g_5_11"/>
      <w:bookmarkStart w:id="2127" w:name="Tc_RTYjizPR9U-RCpRO0jPQvA_5_8"/>
      <w:bookmarkStart w:id="2128" w:name="Tc_4gfD4xuwfECacvlPq_gYwA_5_5"/>
      <w:bookmarkStart w:id="2129" w:name="Tc_gBBw4eLXOk29QmJqmzpr0w_5_2"/>
      <w:bookmarkStart w:id="2130" w:name="Tc_4WAKz48pJk68T5eLKjjAmw_4_11"/>
      <w:bookmarkStart w:id="2131" w:name="Tc_OE4K42591EKLzehJB5o4Dw_4_8"/>
      <w:bookmarkStart w:id="2132" w:name="Tc_6rHisSXqGE6P-3n_pJqwyA_4_5"/>
      <w:bookmarkStart w:id="2133" w:name="Tc_nfS1gNjw-EGZbfgcVyVUMA_4_2"/>
      <w:bookmarkStart w:id="2134" w:name="Tc_bBbavQyzTUKj2UyPkLsFgA_3_11"/>
      <w:bookmarkStart w:id="2135" w:name="Tc_1a5WchEauEO7hq3sHZ78pg_3_8"/>
      <w:bookmarkStart w:id="2136" w:name="Tc_xm4ZZeEPT0q2yE6_6KizZA_3_5"/>
      <w:bookmarkStart w:id="2137" w:name="Tc_W2oq6f8S0U2lUKDb13iWMA_2_11"/>
      <w:bookmarkStart w:id="2138" w:name="Tc__3qVkuzmRk28_TRSTbGjEA_2_8"/>
      <w:bookmarkStart w:id="2139" w:name="Tc_Z8BCbOefPky97VLqni9rZQ_2_5"/>
      <w:bookmarkStart w:id="2140" w:name="Tc_e0g6v1jOJkWst1rNa0BttQ_1_8"/>
      <w:bookmarkStart w:id="2141" w:name="Tc_WqSV6tL4_U25YBhVrDUZHg_1_5"/>
      <w:bookmarkStart w:id="2142" w:name="_3fdc09eb_c939_40b2_9913_5c5aa6d77f7d"/>
      <w:bookmarkStart w:id="2143" w:name="Tc_JzZ968EnXk2gwjfL0uOBiw_7_12"/>
      <w:bookmarkStart w:id="2144" w:name="Tc_SlsK0YIkwUS7PQ3av8IchA_7_6"/>
      <w:bookmarkStart w:id="2145" w:name="Tc__XmJXwrMP0qTMQZzWFXPuA_7_0"/>
      <w:bookmarkStart w:id="2146" w:name="Tc_n_aaegkt4ECpQupIcIRaDQ_6_11"/>
      <w:bookmarkStart w:id="2147" w:name="Tc_0NHg7cQuc0W4h2yHYuLHqg_6_9"/>
      <w:bookmarkStart w:id="2148" w:name="Tc_IUr9W5gGiUObN-dme3OF4Q_6_8"/>
      <w:bookmarkStart w:id="2149" w:name="Tc_ZB5w9ALlu0-bMUDCPHR7ng_6_6"/>
      <w:bookmarkStart w:id="2150" w:name="Tc_fswdbR2Y4kKPLhAziGS0OA_6_5"/>
      <w:bookmarkStart w:id="2151" w:name="Tc_LLZhMdjw40an3k8cY9U_Uw_6_2"/>
      <w:bookmarkStart w:id="2152" w:name="Tc_Ss4IL9E49023AmLNWJoHZQ_6_0"/>
      <w:bookmarkStart w:id="2153" w:name="Tc_5-bkWSfFMkmd1XvXyxDi5g_5_11"/>
      <w:bookmarkStart w:id="2154" w:name="Tc_MlgRJwBTS0yfg2A1MTCquw_5_8"/>
      <w:bookmarkStart w:id="2155" w:name="Tc_gJ9cOKnY4kaQ1SWZJB3ZbA_5_5"/>
      <w:bookmarkStart w:id="2156" w:name="Tc_orgGszkK_E60-3AAGz0wxQ_5_2"/>
      <w:bookmarkStart w:id="2157" w:name="Tc_7cV_R_GN2UuJdwTEgwvODA_4_11"/>
      <w:bookmarkStart w:id="2158" w:name="Tc_zG2-a0lcb0KdexuJfdkTlw_4_8"/>
      <w:bookmarkStart w:id="2159" w:name="Tc_OUzt9ru6_UKkaXgJYxuwfQ_4_5"/>
      <w:bookmarkStart w:id="2160" w:name="Tc_EQVQPH_trESZ6ScRaFi3JQ_4_2"/>
      <w:bookmarkStart w:id="2161" w:name="Tc_nHKDDzkw5UOTaGgHdTRAxw_3_11"/>
      <w:bookmarkStart w:id="2162" w:name="Tc_ZU_cTbO90ECovR1vE_rP5g_3_8"/>
      <w:bookmarkStart w:id="2163" w:name="Tc_m005enZZ-EWrY2yDR6MlGQ_3_5"/>
      <w:bookmarkStart w:id="2164" w:name="Tc_ehdvfah5b0-YrGUfdY2BOA_2_11"/>
      <w:bookmarkStart w:id="2165" w:name="Tc_IU3FOfPnMkePIcXMy8vgpg_2_8"/>
      <w:bookmarkStart w:id="2166" w:name="Tc_g3rmvb9RWUaJJNN6heljqg_2_5"/>
      <w:bookmarkStart w:id="2167" w:name="Tc_e8JDDliCg0Wtu0hhExaLYw_1_8"/>
      <w:bookmarkStart w:id="2168" w:name="Tc_-HktkST1vUqAk6lEaURD9A_1_5"/>
      <w:bookmarkStart w:id="2169" w:name="_e99ae8f7_2f0a_4688_8791_ed87607d67b8"/>
      <w:bookmarkStart w:id="2170" w:name="Tc_lYZqDPz7JkG0WU47qWOUTw_12_11"/>
      <w:bookmarkStart w:id="2171" w:name="Tc_58AboAoiyk-TFqMDhdyI0w_12_8"/>
      <w:bookmarkStart w:id="2172" w:name="Tc_uqgms0OAtEK5INzCbg_iQA_12_6"/>
      <w:bookmarkStart w:id="2173" w:name="Tc_M-QSlCCEaEaMhMSCwSK9pQ_12_5"/>
      <w:bookmarkStart w:id="2174" w:name="Tc_XkpamOdq7k-35WGJ2ofciQ_12_2"/>
      <w:bookmarkStart w:id="2175" w:name="Tc_gDnAE0esfEqCffG2exzv7g_12_0"/>
      <w:bookmarkStart w:id="2176" w:name="Tc_e-tNi0i7l0WIq0harWQPBA_11_12"/>
      <w:bookmarkStart w:id="2177" w:name="Tc_Co-ph7fLHE2Ta3AmR8Jmwg_11_6"/>
      <w:bookmarkStart w:id="2178" w:name="Tc_oABFPbUf8U-YVt-fFOxq0w_11_0"/>
      <w:bookmarkStart w:id="2179" w:name="Tc_sV_O6nWgz0e_POVwJtWkPw_10_6"/>
      <w:bookmarkStart w:id="2180" w:name="Tc_ZRMP7xV5h0mrxyeorACv7g_10_0"/>
      <w:bookmarkStart w:id="2181" w:name="Tc_f8Sdk9hBeUCDQ0RPycLZEg_9_12"/>
      <w:bookmarkStart w:id="2182" w:name="Tc_b0nJqc0Zp0609_R4mdqHug_9_6"/>
      <w:bookmarkStart w:id="2183" w:name="Tc_caM2KokUYESva0hu4sD-8Q_9_0"/>
      <w:bookmarkStart w:id="2184" w:name="Tc_JWOxQQSlCEGr-P99pZoIHA_8_12"/>
      <w:bookmarkStart w:id="2185" w:name="Tc_gBT9bQVGmU-0Yeh0tUCfbw_8_11"/>
      <w:bookmarkStart w:id="2186" w:name="Tc_bsSsnCoTSEu1g3CA_mxyIw_8_8"/>
      <w:bookmarkStart w:id="2187" w:name="Tc_EV_QrESew0yHJ-4x0h7tAQ_8_6"/>
      <w:bookmarkStart w:id="2188" w:name="Tc_09yBH2beNkmu2xrHMycYbw_8_5"/>
      <w:bookmarkStart w:id="2189" w:name="Tc_3mZ8VV77oUaRc09pTqTMbg_8_2"/>
      <w:bookmarkStart w:id="2190" w:name="Tc_9WkXO6xn_EGCZWzfp4Biew_8_0"/>
      <w:bookmarkStart w:id="2191" w:name="Tc_Kp5OAJSBT02rXwb3LKSreg_7_2"/>
      <w:bookmarkStart w:id="2192" w:name="Tc_HEM-BO_RZUC0susysXTp0g_6_11"/>
      <w:bookmarkStart w:id="2193" w:name="Tc_EJIKXMn4fkmqsZGcpWTcvw_6_8"/>
      <w:bookmarkStart w:id="2194" w:name="Tc_bYafMNi79kGIfPcc8844EQ_6_5"/>
      <w:bookmarkStart w:id="2195" w:name="Tc_Sf2zQdBWcEidinUOc2orEQ_6_2"/>
      <w:bookmarkStart w:id="2196" w:name="Tc_wbte4BBNEkS1K-KNAfKcsQ_5_11"/>
      <w:bookmarkStart w:id="2197" w:name="Tc_JSdNJV1zDkygOHiTS4OFcw_5_8"/>
      <w:bookmarkStart w:id="2198" w:name="Tc_ezWD6MKg5EKWXngOU3CJKg_5_5"/>
      <w:bookmarkStart w:id="2199" w:name="Tc_O7xg6ZUIckS9833vCITirA_5_2"/>
      <w:bookmarkStart w:id="2200" w:name="Tc_P2_055h5uEKdEPsj-S1lRQ_4_11"/>
      <w:bookmarkStart w:id="2201" w:name="Tc_9o0rfLXNekShGjJ0JLXupA_4_8"/>
      <w:bookmarkStart w:id="2202" w:name="Tc_Drvj6FESTEKtgH5nTlTR7g_4_5"/>
      <w:bookmarkStart w:id="2203" w:name="Tc_NxG86oZraEuj7tbJdCRipg_4_2"/>
      <w:bookmarkStart w:id="2204" w:name="Tc_WRVYrJ9ZPUyah8PeQiNe-g_3_11"/>
      <w:bookmarkStart w:id="2205" w:name="Tc_Qiq_2DBkHEKIIorV7YYkiw_3_8"/>
      <w:bookmarkStart w:id="2206" w:name="Tc_luIXcBe5ckWaVSmDnoQzdA_3_5"/>
      <w:bookmarkStart w:id="2207" w:name="Tc_s3oxskz2tkm0bfUB6cU1Bw_2_5"/>
      <w:bookmarkStart w:id="2208" w:name="Tc_jE4tlHOsEU-rOzyPhWdNzg_1_5"/>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r>
        <w:rPr>
          <w:rFonts w:ascii="Times New Roman;Times;serif" w:hAnsi="Times New Roman;Times;serif"/>
          <w:sz w:val="20"/>
        </w:rPr>
        <w:t xml:space="preserve">There were no </w:t>
      </w:r>
      <w:r>
        <w:rPr>
          <w:rFonts w:ascii="Times New Roman;Times;serif" w:hAnsi="Times New Roman;Times;serif"/>
          <w:b w:val="false"/>
          <w:i w:val="false"/>
          <w:caps w:val="false"/>
          <w:smallCaps w:val="false"/>
          <w:sz w:val="20"/>
        </w:rPr>
        <w:t>transfers</w:t>
      </w:r>
      <w:r>
        <w:rPr>
          <w:rFonts w:ascii="Times New Roman;Times;serif" w:hAnsi="Times New Roman;Times;serif"/>
          <w:sz w:val="20"/>
        </w:rPr>
        <w:t xml:space="preserve"> between </w:t>
      </w:r>
      <w:r>
        <w:rPr>
          <w:rFonts w:ascii="Times New Roman;Times;serif" w:hAnsi="Times New Roman;Times;serif"/>
          <w:b w:val="false"/>
          <w:i w:val="false"/>
          <w:caps w:val="false"/>
          <w:smallCaps w:val="false"/>
          <w:sz w:val="20"/>
        </w:rPr>
        <w:t>Level 1</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Level 2</w:t>
      </w:r>
      <w:r>
        <w:rPr>
          <w:rFonts w:ascii="Times New Roman;Times;serif" w:hAnsi="Times New Roman;Times;serif"/>
          <w:sz w:val="20"/>
        </w:rPr>
        <w:t xml:space="preserve"> during the three and six months ended June 30, 2026. The Level 3 amount reflects the fair value of certain corporate securities with limited availability of market pricing and determined based on discounted cash flows and other market value indicators.</w:t>
      </w:r>
    </w:p>
    <w:p>
      <w:pPr>
        <w:pStyle w:val="TextBody"/>
        <w:bidi w:val="0"/>
        <w:spacing w:before="0" w:after="0"/>
        <w:ind w:left="0" w:right="0" w:hanging="0"/>
        <w:jc w:val="left"/>
        <w:rPr/>
      </w:pPr>
      <w:r>
        <w:rPr/>
        <w:t>​</w:t>
      </w:r>
    </w:p>
    <w:tbl>
      <w:tblPr>
        <w:tblW w:w="9756" w:type="dxa"/>
        <w:jc w:val="left"/>
        <w:tblInd w:w="0" w:type="dxa"/>
        <w:tblLayout w:type="fixed"/>
        <w:tblCellMar>
          <w:top w:w="0" w:type="dxa"/>
          <w:left w:w="0" w:type="dxa"/>
          <w:bottom w:w="0" w:type="dxa"/>
          <w:right w:w="0" w:type="dxa"/>
        </w:tblCellMar>
      </w:tblPr>
      <w:tblGrid>
        <w:gridCol w:w="3421"/>
        <w:gridCol w:w="346"/>
        <w:gridCol w:w="251"/>
        <w:gridCol w:w="889"/>
        <w:gridCol w:w="346"/>
        <w:gridCol w:w="471"/>
        <w:gridCol w:w="834"/>
        <w:gridCol w:w="346"/>
        <w:gridCol w:w="301"/>
        <w:gridCol w:w="1064"/>
        <w:gridCol w:w="346"/>
        <w:gridCol w:w="274"/>
        <w:gridCol w:w="867"/>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72335" cy="175260"/>
                      <wp:effectExtent l="0" t="0" r="0" b="0"/>
                      <wp:wrapNone/>
                      <wp:docPr id="447" name="Frame447"/>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8"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59385" cy="175260"/>
                      <wp:effectExtent l="0" t="0" r="0" b="0"/>
                      <wp:wrapNone/>
                      <wp:docPr id="449" name="Frame44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64515" cy="175260"/>
                      <wp:effectExtent l="0" t="0" r="0" b="0"/>
                      <wp:wrapNone/>
                      <wp:docPr id="450" name="Frame450"/>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99085" cy="175260"/>
                      <wp:effectExtent l="0" t="0" r="0" b="0"/>
                      <wp:wrapNone/>
                      <wp:docPr id="452" name="Frame452"/>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29590" cy="175260"/>
                      <wp:effectExtent l="0" t="0" r="0" b="0"/>
                      <wp:wrapNone/>
                      <wp:docPr id="453" name="Frame45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91135" cy="175260"/>
                      <wp:effectExtent l="0" t="0" r="0" b="0"/>
                      <wp:wrapNone/>
                      <wp:docPr id="455" name="Frame45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75640" cy="175260"/>
                      <wp:effectExtent l="0" t="0" r="0" b="0"/>
                      <wp:wrapNone/>
                      <wp:docPr id="456" name="Frame456"/>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73990" cy="175260"/>
                      <wp:effectExtent l="0" t="0" r="0" b="0"/>
                      <wp:wrapNone/>
                      <wp:docPr id="458" name="Frame45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50545" cy="175260"/>
                      <wp:effectExtent l="0" t="0" r="0" b="0"/>
                      <wp:wrapNone/>
                      <wp:docPr id="459" name="Frame459"/>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1"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center"/>
              <w:rPr/>
            </w:pPr>
            <w:r>
              <w:rPr/>
              <w:t>  ​ ​ ​</w:t>
            </w:r>
          </w:p>
        </w:tc>
        <w:tc>
          <w:tcPr>
            <w:tcW w:w="301" w:type="dxa"/>
            <w:tcBorders/>
            <w:vAlign w:val="center"/>
          </w:tcPr>
          <w:p>
            <w:pPr>
              <w:pStyle w:val="TableContents"/>
              <w:bidi w:val="0"/>
              <w:spacing w:before="0" w:after="0"/>
              <w:ind w:left="0" w:right="0" w:hanging="0"/>
              <w:jc w:val="center"/>
              <w:rPr/>
            </w:pPr>
            <w:r>
              <w:rPr/>
              <w:t>​</w:t>
            </w:r>
          </w:p>
        </w:tc>
        <w:tc>
          <w:tcPr>
            <w:tcW w:w="10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74"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8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center"/>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at</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0"/>
              <w:ind w:left="0" w:right="0" w:hanging="0"/>
              <w:jc w:val="center"/>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center"/>
              <w:rPr/>
            </w:pPr>
            <w:r>
              <w:rPr/>
              <w:t>​</w:t>
            </w:r>
          </w:p>
        </w:tc>
        <w:tc>
          <w:tcPr>
            <w:tcW w:w="13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975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98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U.S. government agencies and treasuries</w:t>
            </w:r>
          </w:p>
        </w:tc>
        <w:tc>
          <w:tcPr>
            <w:tcW w:w="346" w:type="dxa"/>
            <w:tcBorders/>
            <w:shd w:fill="CCEEFF" w:val="clear"/>
            <w:vAlign w:val="center"/>
          </w:tcPr>
          <w:p>
            <w:pPr>
              <w:pStyle w:val="TableContents"/>
              <w:bidi w:val="0"/>
              <w:spacing w:before="0" w:after="0"/>
              <w:ind w:left="0" w:right="0" w:hanging="0"/>
              <w:jc w:val="left"/>
              <w:rPr/>
            </w:pPr>
            <w:r>
              <w:rPr/>
              <w:t> </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61,570</w:t>
            </w:r>
          </w:p>
        </w:tc>
        <w:tc>
          <w:tcPr>
            <w:tcW w:w="346" w:type="dxa"/>
            <w:tcBorders/>
            <w:shd w:fill="CCEEFF" w:val="clear"/>
            <w:vAlign w:val="center"/>
          </w:tcPr>
          <w:p>
            <w:pPr>
              <w:pStyle w:val="TableContents"/>
              <w:bidi w:val="0"/>
              <w:spacing w:before="0" w:after="0"/>
              <w:ind w:left="0" w:right="0" w:hanging="0"/>
              <w:jc w:val="left"/>
              <w:rPr/>
            </w:pPr>
            <w:r>
              <w:rPr/>
              <w:t>​</w:t>
            </w:r>
          </w:p>
        </w:tc>
        <w:tc>
          <w:tcPr>
            <w:tcW w:w="4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61,570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Mortgage-backed securities</w:t>
            </w:r>
          </w:p>
        </w:tc>
        <w:tc>
          <w:tcPr>
            <w:tcW w:w="3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righ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251,825</w:t>
            </w:r>
          </w:p>
        </w:tc>
        <w:tc>
          <w:tcPr>
            <w:tcW w:w="346"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251,825</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23,276</w:t>
            </w:r>
          </w:p>
        </w:tc>
        <w:tc>
          <w:tcPr>
            <w:tcW w:w="346" w:type="dxa"/>
            <w:tcBorders/>
            <w:shd w:fill="CCEEFF" w:val="clear"/>
            <w:vAlign w:val="center"/>
          </w:tcPr>
          <w:p>
            <w:pPr>
              <w:pStyle w:val="TableContents"/>
              <w:bidi w:val="0"/>
              <w:spacing w:before="0" w:after="0"/>
              <w:ind w:left="0" w:right="0" w:hanging="0"/>
              <w:jc w:val="left"/>
              <w:rPr/>
            </w:pPr>
            <w:r>
              <w:rPr/>
              <w:t>​</w:t>
            </w:r>
          </w:p>
        </w:tc>
        <w:tc>
          <w:tcPr>
            <w:tcW w:w="471" w:type="dxa"/>
            <w:tcBorders/>
            <w:shd w:fill="CCEEFF" w:val="clear"/>
            <w:vAlign w:val="center"/>
          </w:tcPr>
          <w:p>
            <w:pPr>
              <w:pStyle w:val="TableContents"/>
              <w:bidi w:val="0"/>
              <w:spacing w:before="0" w:after="0"/>
              <w:ind w:left="0" w:right="0" w:hanging="0"/>
              <w:jc w:val="left"/>
              <w:rPr/>
            </w:pPr>
            <w:r>
              <w:rPr/>
              <w:t> </w:t>
            </w:r>
          </w:p>
        </w:tc>
        <w:tc>
          <w:tcPr>
            <w:tcW w:w="8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22,014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1,262</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Obligations of states and political subdivisions</w:t>
            </w:r>
          </w:p>
        </w:tc>
        <w:tc>
          <w:tcPr>
            <w:tcW w:w="346" w:type="dxa"/>
            <w:tcBorders/>
            <w:vAlign w:val="center"/>
          </w:tcPr>
          <w:p>
            <w:pPr>
              <w:pStyle w:val="TableContents"/>
              <w:bidi w:val="0"/>
              <w:spacing w:before="0" w:after="0"/>
              <w:ind w:left="0" w:right="0" w:hanging="0"/>
              <w:jc w:val="left"/>
              <w:rPr/>
            </w:pPr>
            <w:r>
              <w:rPr/>
              <w:t> </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82,735</w:t>
            </w:r>
          </w:p>
        </w:tc>
        <w:tc>
          <w:tcPr>
            <w:tcW w:w="346" w:type="dxa"/>
            <w:tcBorders/>
            <w:vAlign w:val="center"/>
          </w:tcPr>
          <w:p>
            <w:pPr>
              <w:pStyle w:val="TableContents"/>
              <w:bidi w:val="0"/>
              <w:spacing w:before="0" w:after="0"/>
              <w:ind w:left="0" w:right="0" w:hanging="0"/>
              <w:jc w:val="left"/>
              <w:rPr/>
            </w:pPr>
            <w:r>
              <w:rPr/>
              <w:t>​</w:t>
            </w:r>
          </w:p>
        </w:tc>
        <w:tc>
          <w:tcPr>
            <w:tcW w:w="4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82,735</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securities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419,406</w:t>
            </w:r>
          </w:p>
        </w:tc>
        <w:tc>
          <w:tcPr>
            <w:tcW w:w="346" w:type="dxa"/>
            <w:tcBorders/>
            <w:shd w:fill="CCEEFF" w:val="clear"/>
            <w:vAlign w:val="center"/>
          </w:tcPr>
          <w:p>
            <w:pPr>
              <w:pStyle w:val="TableContents"/>
              <w:bidi w:val="0"/>
              <w:spacing w:before="0" w:after="0"/>
              <w:ind w:left="0" w:right="0" w:hanging="0"/>
              <w:jc w:val="left"/>
              <w:rPr/>
            </w:pPr>
            <w:r>
              <w:rPr/>
              <w:t>​</w:t>
            </w:r>
          </w:p>
        </w:tc>
        <w:tc>
          <w:tcPr>
            <w:tcW w:w="4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418,144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1,262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There were no </w:t>
      </w:r>
      <w:r>
        <w:rPr>
          <w:rFonts w:ascii="Times New Roman;Times;serif" w:hAnsi="Times New Roman;Times;serif"/>
          <w:b w:val="false"/>
          <w:i w:val="false"/>
          <w:caps w:val="false"/>
          <w:smallCaps w:val="false"/>
          <w:sz w:val="20"/>
        </w:rPr>
        <w:t>transfers</w:t>
      </w:r>
      <w:r>
        <w:rPr>
          <w:rFonts w:ascii="Times New Roman;Times;serif" w:hAnsi="Times New Roman;Times;serif"/>
          <w:sz w:val="20"/>
        </w:rPr>
        <w:t xml:space="preserve"> between </w:t>
      </w:r>
      <w:r>
        <w:rPr>
          <w:rFonts w:ascii="Times New Roman;Times;serif" w:hAnsi="Times New Roman;Times;serif"/>
          <w:b w:val="false"/>
          <w:i w:val="false"/>
          <w:caps w:val="false"/>
          <w:smallCaps w:val="false"/>
          <w:sz w:val="20"/>
        </w:rPr>
        <w:t>Level 1</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Level 2</w:t>
      </w:r>
      <w:r>
        <w:rPr>
          <w:rFonts w:ascii="Times New Roman;Times;serif" w:hAnsi="Times New Roman;Times;serif"/>
          <w:sz w:val="20"/>
        </w:rPr>
        <w:t xml:space="preserve"> during 2025. The Level 3 amount reflects the fair value of certain corporate securities with limited availability of market pricing and determined based on discounted cash flows and other market value indicators.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present assets measured at fair value on a non-recurring basis as of dates indicated below (In thousands):</w:t>
      </w:r>
    </w:p>
    <w:p>
      <w:pPr>
        <w:pStyle w:val="TextBody"/>
        <w:bidi w:val="0"/>
        <w:spacing w:before="0" w:after="240"/>
        <w:ind w:left="0" w:right="0" w:firstLine="360"/>
        <w:jc w:val="left"/>
        <w:rPr/>
      </w:pPr>
      <w:r>
        <w:rPr/>
        <w:t>​</w:t>
      </w:r>
    </w:p>
    <w:tbl>
      <w:tblPr>
        <w:tblW w:w="8917" w:type="dxa"/>
        <w:jc w:val="left"/>
        <w:tblInd w:w="0" w:type="dxa"/>
        <w:tblLayout w:type="fixed"/>
        <w:tblCellMar>
          <w:top w:w="0" w:type="dxa"/>
          <w:left w:w="0" w:type="dxa"/>
          <w:bottom w:w="0" w:type="dxa"/>
          <w:right w:w="0" w:type="dxa"/>
        </w:tblCellMar>
      </w:tblPr>
      <w:tblGrid>
        <w:gridCol w:w="3721"/>
        <w:gridCol w:w="146"/>
        <w:gridCol w:w="276"/>
        <w:gridCol w:w="849"/>
        <w:gridCol w:w="346"/>
        <w:gridCol w:w="438"/>
        <w:gridCol w:w="777"/>
        <w:gridCol w:w="146"/>
        <w:gridCol w:w="228"/>
        <w:gridCol w:w="703"/>
        <w:gridCol w:w="146"/>
        <w:gridCol w:w="296"/>
        <w:gridCol w:w="845"/>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362835" cy="175260"/>
                      <wp:effectExtent l="0" t="0" r="0" b="0"/>
                      <wp:wrapNone/>
                      <wp:docPr id="460" name="Frame460"/>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92710" cy="175260"/>
                      <wp:effectExtent l="0" t="0" r="0" b="0"/>
                      <wp:wrapNone/>
                      <wp:docPr id="461" name="Frame4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75260" cy="175260"/>
                      <wp:effectExtent l="0" t="0" r="0" b="0"/>
                      <wp:wrapNone/>
                      <wp:docPr id="462" name="Frame462"/>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39115" cy="175260"/>
                      <wp:effectExtent l="0" t="0" r="0" b="0"/>
                      <wp:wrapNone/>
                      <wp:docPr id="463" name="Frame463"/>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78130" cy="175260"/>
                      <wp:effectExtent l="0" t="0" r="0" b="0"/>
                      <wp:wrapNone/>
                      <wp:docPr id="465" name="Frame465"/>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93395" cy="175260"/>
                      <wp:effectExtent l="0" t="0" r="0" b="0"/>
                      <wp:wrapNone/>
                      <wp:docPr id="466" name="Frame466"/>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92710" cy="175260"/>
                      <wp:effectExtent l="0" t="0" r="0" b="0"/>
                      <wp:wrapNone/>
                      <wp:docPr id="467" name="Frame4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44780" cy="175260"/>
                      <wp:effectExtent l="0" t="0" r="0" b="0"/>
                      <wp:wrapNone/>
                      <wp:docPr id="468" name="Frame46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46405" cy="175260"/>
                      <wp:effectExtent l="0" t="0" r="0" b="0"/>
                      <wp:wrapNone/>
                      <wp:docPr id="469" name="Frame469"/>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92710" cy="175260"/>
                      <wp:effectExtent l="0" t="0" r="0" b="0"/>
                      <wp:wrapNone/>
                      <wp:docPr id="470" name="Frame4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87960" cy="175260"/>
                      <wp:effectExtent l="0" t="0" r="0" b="0"/>
                      <wp:wrapNone/>
                      <wp:docPr id="471" name="Frame47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536575" cy="175260"/>
                      <wp:effectExtent l="0" t="0" r="0" b="0"/>
                      <wp:wrapNone/>
                      <wp:docPr id="472" name="Frame472"/>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center"/>
              <w:rPr/>
            </w:pPr>
            <w:r>
              <w:rPr/>
              <w:t>​</w:t>
            </w:r>
          </w:p>
        </w:tc>
        <w:tc>
          <w:tcPr>
            <w:tcW w:w="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1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center"/>
              <w:rPr/>
            </w:pPr>
            <w:r>
              <w:rPr/>
              <w:t>​</w:t>
            </w:r>
          </w:p>
        </w:tc>
        <w:tc>
          <w:tcPr>
            <w:tcW w:w="845" w:type="dxa"/>
            <w:tcBorders/>
            <w:vAlign w:val="center"/>
          </w:tcPr>
          <w:p>
            <w:pPr>
              <w:pStyle w:val="TableContents"/>
              <w:bidi w:val="0"/>
              <w:spacing w:before="0" w:after="1"/>
              <w:ind w:left="0" w:right="0" w:hanging="0"/>
              <w:jc w:val="center"/>
              <w:rPr/>
            </w:pPr>
            <w:r>
              <w:rPr/>
              <w:t>​</w:t>
            </w:r>
          </w:p>
        </w:tc>
      </w:tr>
      <w:tr>
        <w:trPr/>
        <w:tc>
          <w:tcPr>
            <w:tcW w:w="37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center"/>
              <w:rPr/>
            </w:pPr>
            <w:r>
              <w:rPr/>
              <w:t>​</w:t>
            </w:r>
          </w:p>
        </w:tc>
        <w:tc>
          <w:tcPr>
            <w:tcW w:w="8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1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7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2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1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1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7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at</w:t>
            </w:r>
          </w:p>
        </w:tc>
        <w:tc>
          <w:tcPr>
            <w:tcW w:w="346" w:type="dxa"/>
            <w:tcBorders/>
            <w:vAlign w:val="center"/>
          </w:tcPr>
          <w:p>
            <w:pPr>
              <w:pStyle w:val="TableContents"/>
              <w:bidi w:val="0"/>
              <w:spacing w:before="0" w:after="1"/>
              <w:ind w:left="0" w:right="0" w:hanging="0"/>
              <w:jc w:val="left"/>
              <w:rPr/>
            </w:pPr>
            <w:r>
              <w:rPr/>
              <w:t>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146" w:type="dxa"/>
            <w:tcBorders/>
            <w:vAlign w:val="center"/>
          </w:tcPr>
          <w:p>
            <w:pPr>
              <w:pStyle w:val="TableContents"/>
              <w:bidi w:val="0"/>
              <w:spacing w:before="0" w:after="1"/>
              <w:ind w:left="0" w:right="0" w:hanging="0"/>
              <w:jc w:val="left"/>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46" w:type="dxa"/>
            <w:tcBorders/>
            <w:vAlign w:val="center"/>
          </w:tcPr>
          <w:p>
            <w:pPr>
              <w:pStyle w:val="TableContents"/>
              <w:bidi w:val="0"/>
              <w:spacing w:before="0" w:after="1"/>
              <w:ind w:left="0" w:right="0" w:hanging="0"/>
              <w:jc w:val="left"/>
              <w:rPr/>
            </w:pPr>
            <w:r>
              <w:rPr/>
              <w:t> </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72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46"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46"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Collateral dependent loans - Commercial real estate</w:t>
            </w:r>
          </w:p>
        </w:tc>
        <w:tc>
          <w:tcPr>
            <w:tcW w:w="146"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1,600</w:t>
            </w:r>
          </w:p>
        </w:tc>
        <w:tc>
          <w:tcPr>
            <w:tcW w:w="346"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1,600</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Held-for-sale loans - Home equity, Residential </w:t>
            </w:r>
          </w:p>
        </w:tc>
        <w:tc>
          <w:tcPr>
            <w:tcW w:w="146"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63,594</w:t>
            </w:r>
          </w:p>
        </w:tc>
        <w:tc>
          <w:tcPr>
            <w:tcW w:w="346" w:type="dxa"/>
            <w:tcBorders/>
            <w:vAlign w:val="center"/>
          </w:tcPr>
          <w:p>
            <w:pPr>
              <w:pStyle w:val="TableContents"/>
              <w:bidi w:val="0"/>
              <w:spacing w:before="0" w:after="1"/>
              <w:ind w:left="0" w:right="0" w:hanging="0"/>
              <w:jc w:val="left"/>
              <w:rPr/>
            </w:pPr>
            <w:r>
              <w:rPr/>
              <w:t>​</w:t>
            </w:r>
          </w:p>
        </w:tc>
        <w:tc>
          <w:tcPr>
            <w:tcW w:w="438"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63,594</w:t>
            </w:r>
          </w:p>
        </w:tc>
        <w:tc>
          <w:tcPr>
            <w:tcW w:w="1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left"/>
        <w:rPr/>
      </w:pPr>
      <w:r>
        <w:rPr/>
        <w:t>​</w:t>
      </w:r>
    </w:p>
    <w:tbl>
      <w:tblPr>
        <w:tblW w:w="9247" w:type="dxa"/>
        <w:jc w:val="left"/>
        <w:tblInd w:w="0" w:type="dxa"/>
        <w:tblLayout w:type="fixed"/>
        <w:tblCellMar>
          <w:top w:w="0" w:type="dxa"/>
          <w:left w:w="0" w:type="dxa"/>
          <w:bottom w:w="0" w:type="dxa"/>
          <w:right w:w="0" w:type="dxa"/>
        </w:tblCellMar>
      </w:tblPr>
      <w:tblGrid>
        <w:gridCol w:w="3676"/>
        <w:gridCol w:w="146"/>
        <w:gridCol w:w="414"/>
        <w:gridCol w:w="1086"/>
        <w:gridCol w:w="346"/>
        <w:gridCol w:w="438"/>
        <w:gridCol w:w="777"/>
        <w:gridCol w:w="146"/>
        <w:gridCol w:w="336"/>
        <w:gridCol w:w="595"/>
        <w:gridCol w:w="146"/>
        <w:gridCol w:w="274"/>
        <w:gridCol w:w="867"/>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334260" cy="175260"/>
                      <wp:effectExtent l="0" t="0" r="0" b="0"/>
                      <wp:wrapNone/>
                      <wp:docPr id="473" name="Frame473"/>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92710" cy="175260"/>
                      <wp:effectExtent l="0" t="0" r="0" b="0"/>
                      <wp:wrapNone/>
                      <wp:docPr id="474" name="Frame4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62890" cy="175260"/>
                      <wp:effectExtent l="0" t="0" r="0" b="0"/>
                      <wp:wrapNone/>
                      <wp:docPr id="475" name="Frame47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89610" cy="175260"/>
                      <wp:effectExtent l="0" t="0" r="0" b="0"/>
                      <wp:wrapNone/>
                      <wp:docPr id="476" name="Frame476"/>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78130" cy="175260"/>
                      <wp:effectExtent l="0" t="0" r="0" b="0"/>
                      <wp:wrapNone/>
                      <wp:docPr id="478" name="Frame478"/>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93395" cy="175260"/>
                      <wp:effectExtent l="0" t="0" r="0" b="0"/>
                      <wp:wrapNone/>
                      <wp:docPr id="479" name="Frame479"/>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92710" cy="175260"/>
                      <wp:effectExtent l="0" t="0" r="0" b="0"/>
                      <wp:wrapNone/>
                      <wp:docPr id="480" name="Frame4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3360" cy="175260"/>
                      <wp:effectExtent l="0" t="0" r="0" b="0"/>
                      <wp:wrapNone/>
                      <wp:docPr id="481" name="Frame481"/>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77825" cy="175260"/>
                      <wp:effectExtent l="0" t="0" r="0" b="0"/>
                      <wp:wrapNone/>
                      <wp:docPr id="482" name="Frame482"/>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92710" cy="175260"/>
                      <wp:effectExtent l="0" t="0" r="0" b="0"/>
                      <wp:wrapNone/>
                      <wp:docPr id="483" name="Frame48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73990" cy="175260"/>
                      <wp:effectExtent l="0" t="0" r="0" b="0"/>
                      <wp:wrapNone/>
                      <wp:docPr id="484" name="Frame48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50545" cy="175260"/>
                      <wp:effectExtent l="0" t="0" r="0" b="0"/>
                      <wp:wrapNone/>
                      <wp:docPr id="485" name="Frame485"/>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center"/>
              <w:rPr/>
            </w:pPr>
            <w:r>
              <w:rPr/>
              <w:t>​</w:t>
            </w:r>
          </w:p>
        </w:tc>
        <w:tc>
          <w:tcPr>
            <w:tcW w:w="10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1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center"/>
              <w:rPr/>
            </w:pPr>
            <w:r>
              <w:rPr/>
              <w:t>​</w:t>
            </w:r>
          </w:p>
        </w:tc>
        <w:tc>
          <w:tcPr>
            <w:tcW w:w="867" w:type="dxa"/>
            <w:tcBorders/>
            <w:vAlign w:val="center"/>
          </w:tcPr>
          <w:p>
            <w:pPr>
              <w:pStyle w:val="TableContents"/>
              <w:bidi w:val="0"/>
              <w:spacing w:before="0" w:after="1"/>
              <w:ind w:left="0" w:right="0" w:hanging="0"/>
              <w:jc w:val="center"/>
              <w:rPr/>
            </w:pPr>
            <w:r>
              <w:rPr/>
              <w:t>​</w:t>
            </w:r>
          </w:p>
        </w:tc>
      </w:tr>
      <w:tr>
        <w:trPr/>
        <w:tc>
          <w:tcPr>
            <w:tcW w:w="36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center"/>
              <w:rPr/>
            </w:pPr>
            <w:r>
              <w:rPr/>
              <w:t>​</w:t>
            </w:r>
          </w:p>
        </w:tc>
        <w:tc>
          <w:tcPr>
            <w:tcW w:w="10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1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6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500"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1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1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6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5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at</w:t>
            </w:r>
          </w:p>
        </w:tc>
        <w:tc>
          <w:tcPr>
            <w:tcW w:w="346" w:type="dxa"/>
            <w:tcBorders/>
            <w:vAlign w:val="center"/>
          </w:tcPr>
          <w:p>
            <w:pPr>
              <w:pStyle w:val="TableContents"/>
              <w:bidi w:val="0"/>
              <w:spacing w:before="0" w:after="1"/>
              <w:ind w:left="0" w:right="0" w:hanging="0"/>
              <w:jc w:val="left"/>
              <w:rPr/>
            </w:pPr>
            <w:r>
              <w:rPr/>
              <w:t> </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146" w:type="dxa"/>
            <w:tcBorders/>
            <w:vAlign w:val="center"/>
          </w:tcPr>
          <w:p>
            <w:pPr>
              <w:pStyle w:val="TableContents"/>
              <w:bidi w:val="0"/>
              <w:spacing w:before="0" w:after="1"/>
              <w:ind w:left="0" w:right="0" w:hanging="0"/>
              <w:jc w:val="left"/>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146" w:type="dxa"/>
            <w:tcBorders/>
            <w:vAlign w:val="center"/>
          </w:tcPr>
          <w:p>
            <w:pPr>
              <w:pStyle w:val="TableContents"/>
              <w:bidi w:val="0"/>
              <w:spacing w:before="0" w:after="1"/>
              <w:ind w:left="0" w:right="0" w:hanging="0"/>
              <w:jc w:val="left"/>
              <w:rPr/>
            </w:pPr>
            <w:r>
              <w:rPr/>
              <w:t> </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67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46"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46"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Collateral dependent loans- Commercial real estate</w:t>
            </w:r>
          </w:p>
        </w:tc>
        <w:tc>
          <w:tcPr>
            <w:tcW w:w="14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8,675</w:t>
            </w:r>
          </w:p>
        </w:tc>
        <w:tc>
          <w:tcPr>
            <w:tcW w:w="346" w:type="dxa"/>
            <w:tcBorders/>
            <w:shd w:fill="CCEEFF" w:val="clear"/>
            <w:vAlign w:val="center"/>
          </w:tcPr>
          <w:p>
            <w:pPr>
              <w:pStyle w:val="TableContents"/>
              <w:bidi w:val="0"/>
              <w:spacing w:before="0" w:after="1"/>
              <w:ind w:left="0" w:right="0" w:hanging="0"/>
              <w:jc w:val="left"/>
              <w:rPr/>
            </w:pPr>
            <w:r>
              <w:rPr/>
              <w:t>​</w:t>
            </w:r>
          </w:p>
        </w:tc>
        <w:tc>
          <w:tcPr>
            <w:tcW w:w="4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9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8,675</w:t>
            </w:r>
          </w:p>
        </w:tc>
      </w:tr>
    </w:tbl>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fair value amounts for commercial real estate shown in the above table are individually evaluated loans net of reserves allocated to said loans. The total reserves allocated to these loans were $159 thousand and $887 thousand at June 30, 2026 and December 31, 2025, respectively.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fair value amounts for home equity and residential loans HFS in the above table were based on quoted bids from prospective buyers and determined the valuation allowance associated with this category.  The total valuation allowance applied against these loans was $4.8 million at June 30, 2026.  No loans were held for sale at December 31, 2025.  </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present additional quantitative information about level 3 fair value measured at fair value on a non-recurring basis at June 30, 2026 and December 31, 2025 (Dollars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51"/>
        <w:gridCol w:w="346"/>
        <w:gridCol w:w="245"/>
        <w:gridCol w:w="641"/>
        <w:gridCol w:w="346"/>
        <w:gridCol w:w="1479"/>
        <w:gridCol w:w="346"/>
        <w:gridCol w:w="1613"/>
        <w:gridCol w:w="346"/>
        <w:gridCol w:w="1299"/>
        <w:gridCol w:w="193"/>
      </w:tblGrid>
      <w:tr>
        <w:trPr/>
        <w:tc>
          <w:tcPr>
            <w:tcW w:w="3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27885" cy="175260"/>
                      <wp:effectExtent l="0" t="0" r="0" b="0"/>
                      <wp:wrapNone/>
                      <wp:docPr id="486" name="Frame486"/>
                      <a:graphic xmlns:a="http://schemas.openxmlformats.org/drawingml/2006/main">
                        <a:graphicData uri="http://schemas.microsoft.com/office/word/2010/wordprocessingShape">
                          <wps:wsp>
                            <wps:cNvSpPr txBox="1"/>
                            <wps:spPr>
                              <a:xfrm>
                                <a:off x="0" y="0"/>
                                <a:ext cx="212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7"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55575" cy="175260"/>
                      <wp:effectExtent l="0" t="0" r="0" b="0"/>
                      <wp:wrapNone/>
                      <wp:docPr id="488" name="Frame488"/>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407035" cy="175260"/>
                      <wp:effectExtent l="0" t="0" r="0" b="0"/>
                      <wp:wrapNone/>
                      <wp:docPr id="489" name="Frame489"/>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90"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939165" cy="175260"/>
                      <wp:effectExtent l="0" t="0" r="0" b="0"/>
                      <wp:wrapNone/>
                      <wp:docPr id="491" name="Frame491"/>
                      <a:graphic xmlns:a="http://schemas.openxmlformats.org/drawingml/2006/main">
                        <a:graphicData uri="http://schemas.microsoft.com/office/word/2010/wordprocessingShape">
                          <wps:wsp>
                            <wps:cNvSpPr txBox="1"/>
                            <wps:spPr>
                              <a:xfrm>
                                <a:off x="0" y="0"/>
                                <a:ext cx="939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19710" cy="175260"/>
                      <wp:effectExtent l="0" t="0" r="0" b="0"/>
                      <wp:wrapNone/>
                      <wp:docPr id="492" name="Frame4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024255" cy="175260"/>
                      <wp:effectExtent l="0" t="0" r="0" b="0"/>
                      <wp:wrapNone/>
                      <wp:docPr id="493" name="Frame493"/>
                      <a:graphic xmlns:a="http://schemas.openxmlformats.org/drawingml/2006/main">
                        <a:graphicData uri="http://schemas.microsoft.com/office/word/2010/wordprocessingShape">
                          <wps:wsp>
                            <wps:cNvSpPr txBox="1"/>
                            <wps:spPr>
                              <a:xfrm>
                                <a:off x="0" y="0"/>
                                <a:ext cx="1024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4" name="Frame4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824865" cy="175260"/>
                      <wp:effectExtent l="0" t="0" r="0" b="0"/>
                      <wp:wrapNone/>
                      <wp:docPr id="495" name="Frame495"/>
                      <a:graphic xmlns:a="http://schemas.openxmlformats.org/drawingml/2006/main">
                        <a:graphicData uri="http://schemas.microsoft.com/office/word/2010/wordprocessingShape">
                          <wps:wsp>
                            <wps:cNvSpPr txBox="1"/>
                            <wps:spPr>
                              <a:xfrm>
                                <a:off x="0" y="0"/>
                                <a:ext cx="824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22555" cy="175260"/>
                      <wp:effectExtent l="0" t="0" r="0" b="0"/>
                      <wp:wrapNone/>
                      <wp:docPr id="496" name="Frame496"/>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  ​ ​ ​</w:t>
            </w:r>
          </w:p>
        </w:tc>
        <w:tc>
          <w:tcPr>
            <w:tcW w:w="1479"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613"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2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w:t>
            </w:r>
          </w:p>
        </w:tc>
        <w:tc>
          <w:tcPr>
            <w:tcW w:w="193" w:type="dxa"/>
            <w:tcBorders/>
            <w:vAlign w:val="center"/>
          </w:tcPr>
          <w:p>
            <w:pPr>
              <w:pStyle w:val="TableContents"/>
              <w:bidi w:val="0"/>
              <w:spacing w:before="0" w:after="0"/>
              <w:ind w:left="0" w:right="0" w:hanging="0"/>
              <w:jc w:val="center"/>
              <w:rPr/>
            </w:pPr>
            <w:r>
              <w:rPr/>
              <w:t> </w:t>
            </w:r>
          </w:p>
        </w:tc>
      </w:tr>
      <w:tr>
        <w:trPr/>
        <w:tc>
          <w:tcPr>
            <w:tcW w:w="3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w:t>
            </w:r>
          </w:p>
        </w:tc>
        <w:tc>
          <w:tcPr>
            <w:tcW w:w="14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46" w:type="dxa"/>
            <w:tcBorders/>
            <w:vAlign w:val="center"/>
          </w:tcPr>
          <w:p>
            <w:pPr>
              <w:pStyle w:val="TableContents"/>
              <w:bidi w:val="0"/>
              <w:spacing w:before="0" w:after="0"/>
              <w:ind w:left="0" w:right="0" w:hanging="0"/>
              <w:jc w:val="left"/>
              <w:rPr/>
            </w:pPr>
            <w:r>
              <w:rPr/>
              <w:t>​</w:t>
            </w:r>
          </w:p>
        </w:tc>
        <w:tc>
          <w:tcPr>
            <w:tcW w:w="16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w:t>
            </w:r>
          </w:p>
        </w:tc>
        <w:tc>
          <w:tcPr>
            <w:tcW w:w="346" w:type="dxa"/>
            <w:tcBorders/>
            <w:vAlign w:val="center"/>
          </w:tcPr>
          <w:p>
            <w:pPr>
              <w:pStyle w:val="TableContents"/>
              <w:bidi w:val="0"/>
              <w:spacing w:before="0" w:after="0"/>
              <w:ind w:left="0" w:right="0" w:hanging="0"/>
              <w:jc w:val="left"/>
              <w:rPr/>
            </w:pPr>
            <w:r>
              <w:rPr/>
              <w:t>​</w:t>
            </w:r>
          </w:p>
        </w:tc>
        <w:tc>
          <w:tcPr>
            <w:tcW w:w="12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93" w:type="dxa"/>
            <w:tcBorders/>
            <w:vAlign w:val="center"/>
          </w:tcPr>
          <w:p>
            <w:pPr>
              <w:pStyle w:val="TableContents"/>
              <w:bidi w:val="0"/>
              <w:spacing w:before="0" w:after="0"/>
              <w:ind w:left="0" w:right="0" w:hanging="0"/>
              <w:jc w:val="center"/>
              <w:rPr/>
            </w:pPr>
            <w:r>
              <w:rPr/>
              <w:t> </w:t>
            </w:r>
          </w:p>
        </w:tc>
      </w:tr>
      <w:tr>
        <w:trPr/>
        <w:tc>
          <w:tcPr>
            <w:tcW w:w="33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Collateral dependent loans - Commercial real estate, Home equity</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1,600</w:t>
            </w:r>
          </w:p>
        </w:tc>
        <w:tc>
          <w:tcPr>
            <w:tcW w:w="346" w:type="dxa"/>
            <w:tcBorders/>
            <w:shd w:fill="CCEEFF" w:val="clear"/>
            <w:vAlign w:val="center"/>
          </w:tcPr>
          <w:p>
            <w:pPr>
              <w:pStyle w:val="TableContents"/>
              <w:bidi w:val="0"/>
              <w:spacing w:before="0" w:after="0"/>
              <w:ind w:left="0" w:right="0" w:hanging="0"/>
              <w:jc w:val="left"/>
              <w:rPr/>
            </w:pPr>
            <w:r>
              <w:rPr/>
              <w:t>​</w:t>
            </w:r>
          </w:p>
        </w:tc>
        <w:tc>
          <w:tcPr>
            <w:tcW w:w="147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Appraisal of collateral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6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Appraisal and liquidation </w:t>
            </w:r>
          </w:p>
        </w:tc>
        <w:tc>
          <w:tcPr>
            <w:tcW w:w="346" w:type="dxa"/>
            <w:tcBorders/>
            <w:shd w:fill="CCEEFF" w:val="clear"/>
            <w:vAlign w:val="center"/>
          </w:tcPr>
          <w:p>
            <w:pPr>
              <w:pStyle w:val="TableContents"/>
              <w:bidi w:val="0"/>
              <w:spacing w:before="0" w:after="0"/>
              <w:ind w:left="0" w:right="0" w:hanging="0"/>
              <w:jc w:val="left"/>
              <w:rPr/>
            </w:pPr>
            <w:r>
              <w:rPr/>
              <w:t>​</w:t>
            </w:r>
          </w:p>
        </w:tc>
        <w:tc>
          <w:tcPr>
            <w:tcW w:w="129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20-100%</w:t>
            </w:r>
          </w:p>
        </w:tc>
        <w:tc>
          <w:tcPr>
            <w:tcW w:w="193" w:type="dxa"/>
            <w:tcBorders/>
            <w:shd w:fill="CCEEFF" w:val="clear"/>
            <w:vAlign w:val="center"/>
          </w:tcPr>
          <w:p>
            <w:pPr>
              <w:pStyle w:val="TableContents"/>
              <w:bidi w:val="0"/>
              <w:spacing w:before="0" w:after="0"/>
              <w:ind w:left="0" w:right="0" w:hanging="0"/>
              <w:jc w:val="center"/>
              <w:rPr/>
            </w:pPr>
            <w:r>
              <w:rPr/>
              <w:t>​</w:t>
            </w:r>
          </w:p>
        </w:tc>
      </w:tr>
      <w:tr>
        <w:trPr/>
        <w:tc>
          <w:tcPr>
            <w:tcW w:w="3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13"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adjustments </w:t>
            </w: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129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(28%)</w:t>
            </w:r>
          </w:p>
        </w:tc>
        <w:tc>
          <w:tcPr>
            <w:tcW w:w="193"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32"/>
        <w:gridCol w:w="346"/>
        <w:gridCol w:w="245"/>
        <w:gridCol w:w="641"/>
        <w:gridCol w:w="346"/>
        <w:gridCol w:w="1606"/>
        <w:gridCol w:w="346"/>
        <w:gridCol w:w="1716"/>
        <w:gridCol w:w="346"/>
        <w:gridCol w:w="1388"/>
        <w:gridCol w:w="193"/>
      </w:tblGrid>
      <w:tr>
        <w:trPr/>
        <w:tc>
          <w:tcPr>
            <w:tcW w:w="3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925320" cy="175260"/>
                      <wp:effectExtent l="0" t="0" r="0" b="0"/>
                      <wp:wrapNone/>
                      <wp:docPr id="497" name="Frame497"/>
                      <a:graphic xmlns:a="http://schemas.openxmlformats.org/drawingml/2006/main">
                        <a:graphicData uri="http://schemas.microsoft.com/office/word/2010/wordprocessingShape">
                          <wps:wsp>
                            <wps:cNvSpPr txBox="1"/>
                            <wps:spPr>
                              <a:xfrm>
                                <a:off x="0" y="0"/>
                                <a:ext cx="1925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19710" cy="175260"/>
                      <wp:effectExtent l="0" t="0" r="0" b="0"/>
                      <wp:wrapNone/>
                      <wp:docPr id="498"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55575" cy="175260"/>
                      <wp:effectExtent l="0" t="0" r="0" b="0"/>
                      <wp:wrapNone/>
                      <wp:docPr id="499" name="Frame49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407035" cy="175260"/>
                      <wp:effectExtent l="0" t="0" r="0" b="0"/>
                      <wp:wrapNone/>
                      <wp:docPr id="500" name="Frame500"/>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501"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019810" cy="175260"/>
                      <wp:effectExtent l="0" t="0" r="0" b="0"/>
                      <wp:wrapNone/>
                      <wp:docPr id="502" name="Frame502"/>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089660" cy="175260"/>
                      <wp:effectExtent l="0" t="0" r="0" b="0"/>
                      <wp:wrapNone/>
                      <wp:docPr id="504" name="Frame504"/>
                      <a:graphic xmlns:a="http://schemas.openxmlformats.org/drawingml/2006/main">
                        <a:graphicData uri="http://schemas.microsoft.com/office/word/2010/wordprocessingShape">
                          <wps:wsp>
                            <wps:cNvSpPr txBox="1"/>
                            <wps:spPr>
                              <a:xfrm>
                                <a:off x="0" y="0"/>
                                <a:ext cx="1089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881380" cy="175260"/>
                      <wp:effectExtent l="0" t="0" r="0" b="0"/>
                      <wp:wrapNone/>
                      <wp:docPr id="506" name="Frame506"/>
                      <a:graphic xmlns:a="http://schemas.openxmlformats.org/drawingml/2006/main">
                        <a:graphicData uri="http://schemas.microsoft.com/office/word/2010/wordprocessingShape">
                          <wps:wsp>
                            <wps:cNvSpPr txBox="1"/>
                            <wps:spPr>
                              <a:xfrm>
                                <a:off x="0" y="0"/>
                                <a:ext cx="881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22555" cy="175260"/>
                      <wp:effectExtent l="0" t="0" r="0" b="0"/>
                      <wp:wrapNone/>
                      <wp:docPr id="507" name="Frame507"/>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160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71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138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Range</w:t>
            </w:r>
          </w:p>
        </w:tc>
        <w:tc>
          <w:tcPr>
            <w:tcW w:w="193" w:type="dxa"/>
            <w:tcBorders/>
            <w:vAlign w:val="center"/>
          </w:tcPr>
          <w:p>
            <w:pPr>
              <w:pStyle w:val="TableContents"/>
              <w:bidi w:val="0"/>
              <w:spacing w:before="0" w:after="1"/>
              <w:ind w:left="0" w:right="0" w:hanging="0"/>
              <w:jc w:val="left"/>
              <w:rPr/>
            </w:pPr>
            <w:r>
              <w:rPr/>
              <w:t> </w:t>
            </w:r>
          </w:p>
        </w:tc>
      </w:tr>
      <w:tr>
        <w:trPr/>
        <w:tc>
          <w:tcPr>
            <w:tcW w:w="30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46" w:type="dxa"/>
            <w:tcBorders/>
            <w:vAlign w:val="center"/>
          </w:tcPr>
          <w:p>
            <w:pPr>
              <w:pStyle w:val="TableContents"/>
              <w:bidi w:val="0"/>
              <w:spacing w:before="0" w:after="1"/>
              <w:ind w:left="0" w:right="0" w:hanging="0"/>
              <w:jc w:val="left"/>
              <w:rPr/>
            </w:pPr>
            <w:r>
              <w:rPr/>
              <w:t>​</w:t>
            </w:r>
          </w:p>
        </w:tc>
        <w:tc>
          <w:tcPr>
            <w:tcW w:w="17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w:t>
            </w:r>
          </w:p>
        </w:tc>
        <w:tc>
          <w:tcPr>
            <w:tcW w:w="346" w:type="dxa"/>
            <w:tcBorders/>
            <w:vAlign w:val="center"/>
          </w:tcPr>
          <w:p>
            <w:pPr>
              <w:pStyle w:val="TableContents"/>
              <w:bidi w:val="0"/>
              <w:spacing w:before="0" w:after="1"/>
              <w:ind w:left="0" w:right="0" w:hanging="0"/>
              <w:jc w:val="left"/>
              <w:rPr/>
            </w:pPr>
            <w:r>
              <w:rPr/>
              <w:t>​</w:t>
            </w:r>
          </w:p>
        </w:tc>
        <w:tc>
          <w:tcPr>
            <w:tcW w:w="13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93" w:type="dxa"/>
            <w:tcBorders/>
            <w:vAlign w:val="center"/>
          </w:tcPr>
          <w:p>
            <w:pPr>
              <w:pStyle w:val="TableContents"/>
              <w:bidi w:val="0"/>
              <w:spacing w:before="0" w:after="1"/>
              <w:ind w:left="0" w:right="0" w:hanging="0"/>
              <w:jc w:val="left"/>
              <w:rPr/>
            </w:pPr>
            <w:r>
              <w:rPr/>
              <w:t> </w:t>
            </w:r>
          </w:p>
        </w:tc>
      </w:tr>
      <w:tr>
        <w:trPr/>
        <w:tc>
          <w:tcPr>
            <w:tcW w:w="303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Collateral dependent loans - Commercial real estate</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8,675</w:t>
            </w:r>
          </w:p>
        </w:tc>
        <w:tc>
          <w:tcPr>
            <w:tcW w:w="346" w:type="dxa"/>
            <w:tcBorders/>
            <w:shd w:fill="CCEEFF" w:val="clear"/>
            <w:vAlign w:val="center"/>
          </w:tcPr>
          <w:p>
            <w:pPr>
              <w:pStyle w:val="TableContents"/>
              <w:bidi w:val="0"/>
              <w:spacing w:before="0" w:after="1"/>
              <w:ind w:left="0" w:right="0" w:hanging="0"/>
              <w:jc w:val="left"/>
              <w:rPr/>
            </w:pPr>
            <w:r>
              <w:rPr/>
              <w:t>​</w:t>
            </w:r>
          </w:p>
        </w:tc>
        <w:tc>
          <w:tcPr>
            <w:tcW w:w="16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Appraisal of collateral </w:t>
            </w:r>
            <w:r>
              <w:rPr>
                <w:rFonts w:ascii="Times New Roman;Times;serif" w:hAnsi="Times New Roman;Times;serif"/>
                <w:sz w:val="14"/>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7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Appraisal and liquidation </w:t>
            </w:r>
          </w:p>
        </w:tc>
        <w:tc>
          <w:tcPr>
            <w:tcW w:w="346" w:type="dxa"/>
            <w:tcBorders/>
            <w:shd w:fill="CCEEFF" w:val="clear"/>
            <w:vAlign w:val="center"/>
          </w:tcPr>
          <w:p>
            <w:pPr>
              <w:pStyle w:val="TableContents"/>
              <w:bidi w:val="0"/>
              <w:spacing w:before="0" w:after="1"/>
              <w:ind w:left="0" w:right="0" w:hanging="0"/>
              <w:jc w:val="left"/>
              <w:rPr/>
            </w:pPr>
            <w:r>
              <w:rPr/>
              <w:t>​</w:t>
            </w:r>
          </w:p>
        </w:tc>
        <w:tc>
          <w:tcPr>
            <w:tcW w:w="1388"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20-44%</w:t>
            </w:r>
          </w:p>
        </w:tc>
        <w:tc>
          <w:tcPr>
            <w:tcW w:w="193" w:type="dxa"/>
            <w:tcBorders/>
            <w:shd w:fill="CCEEFF" w:val="clear"/>
            <w:vAlign w:val="center"/>
          </w:tcPr>
          <w:p>
            <w:pPr>
              <w:pStyle w:val="TableContents"/>
              <w:bidi w:val="0"/>
              <w:spacing w:before="0" w:after="1"/>
              <w:ind w:left="0" w:right="0" w:hanging="0"/>
              <w:jc w:val="left"/>
              <w:rPr/>
            </w:pPr>
            <w:r>
              <w:rPr/>
              <w:t>​</w:t>
            </w:r>
          </w:p>
        </w:tc>
      </w:tr>
      <w:tr>
        <w:trPr/>
        <w:tc>
          <w:tcPr>
            <w:tcW w:w="30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1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adjustments </w:t>
            </w: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388"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(23%)</w:t>
            </w:r>
          </w:p>
        </w:tc>
        <w:tc>
          <w:tcPr>
            <w:tcW w:w="193" w:type="dxa"/>
            <w:tcBorders/>
            <w:vAlign w:val="center"/>
          </w:tcPr>
          <w:p>
            <w:pPr>
              <w:pStyle w:val="TableContents"/>
              <w:bidi w:val="0"/>
              <w:spacing w:before="0" w:after="1"/>
              <w:ind w:left="0" w:right="0" w:hanging="0"/>
              <w:jc w:val="left"/>
              <w:rPr/>
            </w:pPr>
            <w:r>
              <w:rPr/>
              <w:t>​</w:t>
            </w:r>
          </w:p>
        </w:tc>
      </w:tr>
    </w:tbl>
    <w:p>
      <w:pPr>
        <w:pStyle w:val="TextBody"/>
        <w:pBdr/>
        <w:bidi w:val="0"/>
        <w:spacing w:before="0" w:after="240"/>
        <w:ind w:left="0" w:right="0" w:hanging="432"/>
        <w:jc w:val="left"/>
        <w:rPr/>
      </w:pPr>
      <w:r>
        <w:rPr/>
        <w:t>​</w:t>
      </w:r>
    </w:p>
    <w:p>
      <w:pPr>
        <w:pStyle w:val="TextBody"/>
        <w:pBdr/>
        <w:bidi w:val="0"/>
        <w:spacing w:before="0" w:after="120"/>
        <w:ind w:left="0" w:right="0" w:hanging="432"/>
        <w:jc w:val="both"/>
        <w:rPr>
          <w:rFonts w:ascii="Times New Roman;Times;serif" w:hAnsi="Times New Roman;Times;serif"/>
          <w:sz w:val="16"/>
        </w:rPr>
      </w:pPr>
      <w:r>
        <w:rPr>
          <w:rFonts w:ascii="Times New Roman;Times;serif" w:hAnsi="Times New Roman;Times;serif"/>
          <w:sz w:val="16"/>
        </w:rPr>
        <w:t>(1)     Fair value is generally determined through independent appraisals of the underlying collateral that generally include various level 3 inputs which are not identifiable.</w:t>
      </w:r>
    </w:p>
    <w:p>
      <w:pPr>
        <w:pStyle w:val="TextBody"/>
        <w:pBdr/>
        <w:bidi w:val="0"/>
        <w:spacing w:before="0" w:after="120"/>
        <w:ind w:left="0" w:right="0" w:hanging="432"/>
        <w:jc w:val="both"/>
        <w:rPr>
          <w:rFonts w:ascii="Times New Roman;Times;serif" w:hAnsi="Times New Roman;Times;serif"/>
          <w:sz w:val="16"/>
        </w:rPr>
      </w:pPr>
      <w:r>
        <w:rPr>
          <w:rFonts w:ascii="Times New Roman;Times;serif" w:hAnsi="Times New Roman;Times;serif"/>
          <w:sz w:val="16"/>
        </w:rPr>
        <w:t>(2)     Appraisals may be adjusted downward by management for qualitative factors such as economic conditions and estimated liquidation expenses. The range of liquidation expenses and other appraisal adjustments are presented as a percent of the appraisal.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both"/>
        <w:rPr>
          <w:rFonts w:ascii="Times New Roman;Times;serif" w:hAnsi="Times New Roman;Times;serif"/>
          <w:sz w:val="20"/>
        </w:rPr>
      </w:pPr>
      <w:bookmarkStart w:id="2209" w:name="Tc_gTvwnfEvYk-gXnaqIZegwA_13_15"/>
      <w:bookmarkStart w:id="2210" w:name="Tc_eEDBVlO30ECWrFYkvS8Suw_13_9"/>
      <w:bookmarkStart w:id="2211" w:name="Tc_KnQW9IYCv0ed8MtFLyX0rQ_13_0"/>
      <w:bookmarkStart w:id="2212" w:name="Tc_0vVh4kg7l0G-cYhAqVXOyQ_12_15"/>
      <w:bookmarkStart w:id="2213" w:name="Tc_f9VH2u10uU6d_DTGEVBIaQ_12_9"/>
      <w:bookmarkStart w:id="2214" w:name="Tc__Tv7uNUlpEGlnWVxNlTF3A_12_0"/>
      <w:bookmarkStart w:id="2215" w:name="Tc_GAsy5hpkb0m0equ37oPQ2w_11_15"/>
      <w:bookmarkStart w:id="2216" w:name="Tc_d9ZC_3xgtE6dM8LMuxci0A_11_9"/>
      <w:bookmarkStart w:id="2217" w:name="Tc_0-6B7dpvdEuKeoxJTX5WUw_11_0"/>
      <w:bookmarkStart w:id="2218" w:name="Tc_tYmLLIoIJ0aI-aUWuxFiRg_10_15"/>
      <w:bookmarkStart w:id="2219" w:name="Tc_3D_dZCGpvECxuNuXSPwz1Q_10_0"/>
      <w:bookmarkStart w:id="2220" w:name="Tc_iSzdG_SHRUmpzXadm0UFpA_9_0"/>
      <w:bookmarkStart w:id="2221" w:name="Tc_9csfUtTg8U2LsRmUe36nDg_8_15"/>
      <w:bookmarkStart w:id="2222" w:name="Tc_TNNnmgAcHE-Om6N_avDOcg_8_12"/>
      <w:bookmarkStart w:id="2223" w:name="Tc_bHJDTuQRB02hv09eU79gbA_8_9"/>
      <w:bookmarkStart w:id="2224" w:name="Tc_ssdms1xtVEOWHYLEEl4kVQ_8_6"/>
      <w:bookmarkStart w:id="2225" w:name="Tc_oU2SD-yldUW1az4GvGkXnw_8_0"/>
      <w:bookmarkStart w:id="2226" w:name="Tc_hiPfwTLPNE6ple4OdfZKrw_7_9"/>
      <w:bookmarkStart w:id="2227" w:name="Tc_BBD6-oca6U2f3P4N2iVLIQ_7_0"/>
      <w:bookmarkStart w:id="2228" w:name="Tc_u_8HhaF2IUOBwQbhzB9QQg_6_12"/>
      <w:bookmarkStart w:id="2229" w:name="Tc_SX50EFzmBkyUI7nLE4D1GA_6_9"/>
      <w:bookmarkStart w:id="2230" w:name="Tc_3VU33WO-WUW9dcy_0BApkQ_6_0"/>
      <w:bookmarkStart w:id="2231" w:name="Tc_B8Fc0CXqtUmvvvJ6tE6PjQ_5_15"/>
      <w:bookmarkStart w:id="2232" w:name="Tc_nx7lKIsVCEWL7ecJfQjlKw_5_14"/>
      <w:bookmarkStart w:id="2233" w:name="Tc_t0GayWUfA066_pkcTVRHuQ_5_12"/>
      <w:bookmarkStart w:id="2234" w:name="Tc_JZnbRV-0fk6CQOaFeb1esA_5_11"/>
      <w:bookmarkStart w:id="2235" w:name="Tc_Ts3IFyvq20ir2p7Px_1mzg_5_8"/>
      <w:bookmarkStart w:id="2236" w:name="Tc_pkPLGF1tlkSbX1yLSKHsmA_5_5"/>
      <w:bookmarkStart w:id="2237" w:name="Tc_X7-tyO0eRUiB-PXk4vP0ww_5_2"/>
      <w:bookmarkStart w:id="2238" w:name="Tc_h-FL0klLwUGSzoMc2TgCWg_5_0"/>
      <w:bookmarkStart w:id="2239" w:name="Tc_oMdFnP4Zq0OwTYU9VZ0MsQ_4_0"/>
      <w:bookmarkStart w:id="2240" w:name="Tc_daIYf_9KXE29MMCbBETPpQ_3_14"/>
      <w:bookmarkStart w:id="2241" w:name="Tc_AZz9mlcvSEqc11WN8i1E6w_3_11"/>
      <w:bookmarkStart w:id="2242" w:name="Tc_lw5g0yxXTE2NDYE1ufbCBw_3_8"/>
      <w:bookmarkStart w:id="2243" w:name="Tc_ooava44Rtk2lrGujtkttTg_3_5"/>
      <w:bookmarkStart w:id="2244" w:name="Tc_LmtMJlEKiE-m1TUcyUjOMA_3_2"/>
      <w:bookmarkStart w:id="2245" w:name="Tc_STSCsIcyTkyIe-brQFCmEA_2_5"/>
      <w:bookmarkStart w:id="2246" w:name="Tc_OMNE6zl7k0aZYunWAlZhWg_2_2"/>
      <w:bookmarkStart w:id="2247" w:name="Tc_RpoOLEglBUGvvgso3P5gig_1_2"/>
      <w:bookmarkStart w:id="2248" w:name="_0353e629_72fc_438d_97df_0b2d7876708a"/>
      <w:bookmarkStart w:id="2249" w:name="Tc_xZNQwH_TLUCx95m-BHgEjA_14_15"/>
      <w:bookmarkStart w:id="2250" w:name="Tc_33nZiGd_kE6xL2u32W4-dw_14_9"/>
      <w:bookmarkStart w:id="2251" w:name="Tc_x21ij-C2HkS2QFDVE7wrLg_14_0"/>
      <w:bookmarkStart w:id="2252" w:name="Tc_H6dbxn8bvEyonrDpfIW1IA_13_15"/>
      <w:bookmarkStart w:id="2253" w:name="Tc_nLUOkw7vbEe9T3JCUk96Bg_13_9"/>
      <w:bookmarkStart w:id="2254" w:name="Tc_Su_eKhJUNEqX61sDaBtvMw_13_0"/>
      <w:bookmarkStart w:id="2255" w:name="Tc_cAYLLk62XkSoQtSj2boIfQ_12_15"/>
      <w:bookmarkStart w:id="2256" w:name="Tc_HbtTgHQ-fkete-nYyPu7Rw_12_9"/>
      <w:bookmarkStart w:id="2257" w:name="Tc_LNwph9J9NUOzEcwPdInvCQ_12_0"/>
      <w:bookmarkStart w:id="2258" w:name="Tc_uiFRE6ix2EK4hmJC-ojP2w_11_15"/>
      <w:bookmarkStart w:id="2259" w:name="Tc_3iF2pJ5uO0GRRJZlJe0Qtg_11_0"/>
      <w:bookmarkStart w:id="2260" w:name="Tc_7AkKXRj7W0ubHEgZkdmUjQ_10_0"/>
      <w:bookmarkStart w:id="2261" w:name="Tc_GSH9faPAGUSvRSbaJy06cw_9_15"/>
      <w:bookmarkStart w:id="2262" w:name="Tc_okksKWLHLUOQ-Vs7re0qvg_9_12"/>
      <w:bookmarkStart w:id="2263" w:name="Tc_K0CkidqE-ku5LGw515xrFg_9_9"/>
      <w:bookmarkStart w:id="2264" w:name="Tc_azKI2IFdh0CggBFiB7cEQA_9_6"/>
      <w:bookmarkStart w:id="2265" w:name="Tc_MFQvofPXFE2SbIuHpNPXcQ_9_0"/>
      <w:bookmarkStart w:id="2266" w:name="Tc_J1LVudGkGE-oUrbgHcrhVQ_8_9"/>
      <w:bookmarkStart w:id="2267" w:name="Tc_YGsfayFiFkujZwg4xnzo0w_8_0"/>
      <w:bookmarkStart w:id="2268" w:name="Tc_bZe1HOxFD0asKM22Fav0OA_7_12"/>
      <w:bookmarkStart w:id="2269" w:name="Tc_NOElm3LACU-mIrrKzN2lFQ_7_9"/>
      <w:bookmarkStart w:id="2270" w:name="Tc_ciIdaxLFcUCupuirOm8krA_7_0"/>
      <w:bookmarkStart w:id="2271" w:name="Tc_zFTPn0VC60-kpcZ7X6L30Q_6_12"/>
      <w:bookmarkStart w:id="2272" w:name="Tc_6RM-HFLfw0y1RkGWeCMP4A_6_9"/>
      <w:bookmarkStart w:id="2273" w:name="Tc_jtbU8TBmfUmBfQOBQFODPw_6_0"/>
      <w:bookmarkStart w:id="2274" w:name="Tc_iNaD0Wj1mkmTuh5t7qBorw_5_15"/>
      <w:bookmarkStart w:id="2275" w:name="Tc_5GfYZAp_30yV36pS5poyIw_5_14"/>
      <w:bookmarkStart w:id="2276" w:name="Tc_B0iX36IAqECvXHgmJboCig_5_12"/>
      <w:bookmarkStart w:id="2277" w:name="Tc_ExdEG6MbmUC3GKjnFSxZTg_5_11"/>
      <w:bookmarkStart w:id="2278" w:name="Tc_3159x-1GP0y4aVlQv0pBug_5_8"/>
      <w:bookmarkStart w:id="2279" w:name="Tc_cXroGxO-XEmMkbjLsGU9Eg_5_5"/>
      <w:bookmarkStart w:id="2280" w:name="Tc_evpxdAOriUu2AV7jdnnV6w_5_2"/>
      <w:bookmarkStart w:id="2281" w:name="Tc_v4-_miM-j0Wos_SLrwoEWw_5_0"/>
      <w:bookmarkStart w:id="2282" w:name="Tc_U2VBWk1QP0KqulY8WfrIxQ_4_0"/>
      <w:bookmarkStart w:id="2283" w:name="Tc_OnW5pxHTq0q2Mkc_ZMmEZw_3_14"/>
      <w:bookmarkStart w:id="2284" w:name="Tc__NDH_t6mC0i_6I5belqtAg_3_11"/>
      <w:bookmarkStart w:id="2285" w:name="Tc_F9CXV1DoNU2VIn9JOfPRqg_3_8"/>
      <w:bookmarkStart w:id="2286" w:name="Tc_BfrOKY5s2EWH2HHqq_wRBw_3_5"/>
      <w:bookmarkStart w:id="2287" w:name="Tc_RgYkbMPHv0KVkmz7iZqatw_3_2"/>
      <w:bookmarkStart w:id="2288" w:name="Tc_QRPtqhVKbEGAWSTgFxjF6Q_2_5"/>
      <w:bookmarkStart w:id="2289" w:name="Tc_qCwuTbjQfUi1mzx1aWJ5JQ_2_2"/>
      <w:bookmarkStart w:id="2290" w:name="Tc_DgojP1ZDAUGFiNB4qoQxEw_1_2"/>
      <w:bookmarkStart w:id="2291" w:name="_17ef5601_7e45_4466_8be6_43b55a16b8a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r>
        <w:rPr>
          <w:rFonts w:ascii="Times New Roman;Times;serif" w:hAnsi="Times New Roman;Times;serif"/>
          <w:sz w:val="20"/>
        </w:rPr>
        <w:t>The carrying amounts and estimated fair values of the Company’s financial instruments not carried at fair value are as follows at June 30, 2026 and December 31, 2025 (In thousands):</w:t>
      </w:r>
    </w:p>
    <w:p>
      <w:pPr>
        <w:pStyle w:val="TextBody"/>
        <w:bidi w:val="0"/>
        <w:spacing w:before="0" w:after="0"/>
        <w:ind w:left="0" w:right="0" w:hanging="0"/>
        <w:jc w:val="left"/>
        <w:rPr/>
      </w:pPr>
      <w:r>
        <w:rPr/>
        <w:t>​</w:t>
      </w:r>
    </w:p>
    <w:tbl>
      <w:tblPr>
        <w:tblW w:w="9691" w:type="dxa"/>
        <w:jc w:val="left"/>
        <w:tblInd w:w="0" w:type="dxa"/>
        <w:tblLayout w:type="fixed"/>
        <w:tblCellMar>
          <w:top w:w="0" w:type="dxa"/>
          <w:left w:w="0" w:type="dxa"/>
          <w:bottom w:w="0" w:type="dxa"/>
          <w:right w:w="0" w:type="dxa"/>
        </w:tblCellMar>
      </w:tblPr>
      <w:tblGrid>
        <w:gridCol w:w="3031"/>
        <w:gridCol w:w="346"/>
        <w:gridCol w:w="196"/>
        <w:gridCol w:w="826"/>
        <w:gridCol w:w="346"/>
        <w:gridCol w:w="196"/>
        <w:gridCol w:w="826"/>
        <w:gridCol w:w="346"/>
        <w:gridCol w:w="196"/>
        <w:gridCol w:w="826"/>
        <w:gridCol w:w="346"/>
        <w:gridCol w:w="196"/>
        <w:gridCol w:w="601"/>
        <w:gridCol w:w="346"/>
        <w:gridCol w:w="196"/>
        <w:gridCol w:w="87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924685" cy="175260"/>
                      <wp:effectExtent l="0" t="0" r="0" b="0"/>
                      <wp:wrapNone/>
                      <wp:docPr id="508" name="Frame508"/>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24460" cy="175260"/>
                      <wp:effectExtent l="0" t="0" r="0" b="0"/>
                      <wp:wrapNone/>
                      <wp:docPr id="510" name="Frame5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24510" cy="175260"/>
                      <wp:effectExtent l="0" t="0" r="0" b="0"/>
                      <wp:wrapNone/>
                      <wp:docPr id="511" name="Frame5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12"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24460" cy="175260"/>
                      <wp:effectExtent l="0" t="0" r="0" b="0"/>
                      <wp:wrapNone/>
                      <wp:docPr id="513" name="Frame5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24510" cy="175260"/>
                      <wp:effectExtent l="0" t="0" r="0" b="0"/>
                      <wp:wrapNone/>
                      <wp:docPr id="514" name="Frame5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15" name="Frame5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24460" cy="175260"/>
                      <wp:effectExtent l="0" t="0" r="0" b="0"/>
                      <wp:wrapNone/>
                      <wp:docPr id="516" name="Frame5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524510" cy="175260"/>
                      <wp:effectExtent l="0" t="0" r="0" b="0"/>
                      <wp:wrapNone/>
                      <wp:docPr id="517" name="Frame5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9710" cy="175260"/>
                      <wp:effectExtent l="0" t="0" r="0" b="0"/>
                      <wp:wrapNone/>
                      <wp:docPr id="518" name="Frame5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24460" cy="175260"/>
                      <wp:effectExtent l="0" t="0" r="0" b="0"/>
                      <wp:wrapNone/>
                      <wp:docPr id="519" name="Frame5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381635" cy="175260"/>
                      <wp:effectExtent l="0" t="0" r="0" b="0"/>
                      <wp:wrapNone/>
                      <wp:docPr id="520" name="Frame52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19710" cy="175260"/>
                      <wp:effectExtent l="0" t="0" r="0" b="0"/>
                      <wp:wrapNone/>
                      <wp:docPr id="521"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24460" cy="175260"/>
                      <wp:effectExtent l="0" t="0" r="0" b="0"/>
                      <wp:wrapNone/>
                      <wp:docPr id="522" name="Frame5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553085" cy="175260"/>
                      <wp:effectExtent l="0" t="0" r="0" b="0"/>
                      <wp:wrapNone/>
                      <wp:docPr id="523" name="Frame52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314"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r>
      <w:tr>
        <w:trPr/>
        <w:tc>
          <w:tcPr>
            <w:tcW w:w="3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Value</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Financial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due from banks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334,925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334,925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334,925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held-for-sale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63,594</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1,883,923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1,855,351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1,855,351</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9,027</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investment in bank stocks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NA</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Financial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2,431,191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2,430,559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2,395,174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35,385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FHLB advances, long term</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Subordinated notes, net of issuance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24,603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left"/>
        <w:rPr/>
      </w:pPr>
      <w:r>
        <w:rPr/>
        <w:t>​</w:t>
      </w:r>
    </w:p>
    <w:tbl>
      <w:tblPr>
        <w:tblW w:w="9781" w:type="dxa"/>
        <w:jc w:val="left"/>
        <w:tblInd w:w="0" w:type="dxa"/>
        <w:tblLayout w:type="fixed"/>
        <w:tblCellMar>
          <w:top w:w="0" w:type="dxa"/>
          <w:left w:w="0" w:type="dxa"/>
          <w:bottom w:w="0" w:type="dxa"/>
          <w:right w:w="0" w:type="dxa"/>
        </w:tblCellMar>
      </w:tblPr>
      <w:tblGrid>
        <w:gridCol w:w="3031"/>
        <w:gridCol w:w="346"/>
        <w:gridCol w:w="196"/>
        <w:gridCol w:w="826"/>
        <w:gridCol w:w="346"/>
        <w:gridCol w:w="196"/>
        <w:gridCol w:w="826"/>
        <w:gridCol w:w="346"/>
        <w:gridCol w:w="196"/>
        <w:gridCol w:w="826"/>
        <w:gridCol w:w="346"/>
        <w:gridCol w:w="196"/>
        <w:gridCol w:w="691"/>
        <w:gridCol w:w="346"/>
        <w:gridCol w:w="196"/>
        <w:gridCol w:w="87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924685" cy="175260"/>
                      <wp:effectExtent l="0" t="0" r="0" b="0"/>
                      <wp:wrapNone/>
                      <wp:docPr id="524" name="Frame524"/>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24460" cy="175260"/>
                      <wp:effectExtent l="0" t="0" r="0" b="0"/>
                      <wp:wrapNone/>
                      <wp:docPr id="526" name="Frame5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524510" cy="175260"/>
                      <wp:effectExtent l="0" t="0" r="0" b="0"/>
                      <wp:wrapNone/>
                      <wp:docPr id="527" name="Frame5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24460" cy="175260"/>
                      <wp:effectExtent l="0" t="0" r="0" b="0"/>
                      <wp:wrapNone/>
                      <wp:docPr id="529" name="Frame5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24510" cy="175260"/>
                      <wp:effectExtent l="0" t="0" r="0" b="0"/>
                      <wp:wrapNone/>
                      <wp:docPr id="530" name="Frame5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24460" cy="175260"/>
                      <wp:effectExtent l="0" t="0" r="0" b="0"/>
                      <wp:wrapNone/>
                      <wp:docPr id="532" name="Frame5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524510" cy="175260"/>
                      <wp:effectExtent l="0" t="0" r="0" b="0"/>
                      <wp:wrapNone/>
                      <wp:docPr id="533" name="Frame53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4"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24460" cy="175260"/>
                      <wp:effectExtent l="0" t="0" r="0" b="0"/>
                      <wp:wrapNone/>
                      <wp:docPr id="535" name="Frame5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38785" cy="175260"/>
                      <wp:effectExtent l="0" t="0" r="0" b="0"/>
                      <wp:wrapNone/>
                      <wp:docPr id="536" name="Frame5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37"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24460" cy="175260"/>
                      <wp:effectExtent l="0" t="0" r="0" b="0"/>
                      <wp:wrapNone/>
                      <wp:docPr id="538" name="Frame5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53085" cy="175260"/>
                      <wp:effectExtent l="0" t="0" r="0" b="0"/>
                      <wp:wrapNone/>
                      <wp:docPr id="539" name="Frame53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0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Fair</w:t>
            </w:r>
            <w:r>
              <w:rPr>
                <w:rFonts w:ascii="Times New Roman;Times;serif" w:hAnsi="Times New Roman;Times;serif"/>
                <w:sz w:val="16"/>
              </w:rPr>
              <w:t> </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due from banks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204,232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204,232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204,232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Loans,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1,921,949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1,877,174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1,877,174</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8,551</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investment in bank stocks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Financial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2,310,373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2,309,901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2,151,362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158,539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FHLB advances, long term</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Subordinated notes, net of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292" w:name="Tc_xfLaxu0s0UyjIHcKp67OJQ_5_2"/>
      <w:bookmarkStart w:id="2293" w:name="Tc_cx8IH3m7iUi62ukTMgqhXA_4_0"/>
      <w:bookmarkStart w:id="2294" w:name="Tc_ojRMtPVErUye4ODm20oYng_3_0"/>
      <w:bookmarkStart w:id="2295" w:name="Tc_aQ_E1cXGskKxbdAaKQ-GrA_2_0"/>
      <w:bookmarkStart w:id="2296" w:name="Tc_lyAcNvehwEGEs__IXI29dw_1_2"/>
      <w:bookmarkStart w:id="2297" w:name="Tc_zZmLMSfKd0mWEF2SaKzKeA_1_0"/>
      <w:bookmarkStart w:id="2298" w:name="_983a3097_2f66_4be2_985b_55aeca9e5a65"/>
      <w:bookmarkStart w:id="2299" w:name="Tc_QIp4Ag5n5022E7w7lBQ81A_8_5"/>
      <w:bookmarkStart w:id="2300" w:name="Tc_kl7gkOhD0UaXfOYKYQH16Q_8_2"/>
      <w:bookmarkStart w:id="2301" w:name="Tc_pxOOEj0NJU6r-SzfZpBQsg_8_0"/>
      <w:bookmarkStart w:id="2302" w:name="Tc_rY_mDYHMu0iyTAn6BWLJNg_7_0"/>
      <w:bookmarkStart w:id="2303" w:name="Tc_bcoqBZCcaEKSlQrUsT4zwQ_6_0"/>
      <w:bookmarkStart w:id="2304" w:name="Tc_-YXySvqGj0OPh23zhtl4Rg_5_0"/>
      <w:bookmarkStart w:id="2305" w:name="Tc_5fYTOtbO-EKRGkCUKLB8Gw_4_0"/>
      <w:bookmarkStart w:id="2306" w:name="Tc_4ri8tSjuu0SIICGybv0Muw_3_5"/>
      <w:bookmarkStart w:id="2307" w:name="Tc_1hxqEHLtCUqZAfZBwriZQg_3_2"/>
      <w:bookmarkStart w:id="2308" w:name="Tc_jtI3ITsuGU-wtwPSLaL_YQ_3_0"/>
      <w:bookmarkStart w:id="2309" w:name="Tc_P5Y0U3oAg0GDn2RslJM25g_2_2"/>
      <w:bookmarkStart w:id="2310" w:name="Tc_9CkoSaxDZEGWDzltwDuNvQ_1_5"/>
      <w:bookmarkStart w:id="2311" w:name="Tc_gowTbtLnEUi0SRcRh5rNUQ_1_2"/>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r>
        <w:rPr>
          <w:rFonts w:ascii="Times New Roman;Times;serif" w:hAnsi="Times New Roman;Times;serif"/>
          <w:b/>
          <w:sz w:val="20"/>
        </w:rPr>
        <w:t>Note 5 — Deposits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summarized analysis of the Bank’s deposits at June 30, 2026 and December 31, 2025:</w:t>
      </w:r>
    </w:p>
    <w:p>
      <w:pPr>
        <w:pStyle w:val="TextBody"/>
        <w:bidi w:val="0"/>
        <w:spacing w:before="0" w:after="240"/>
        <w:ind w:left="0" w:right="0" w:firstLine="360"/>
        <w:jc w:val="left"/>
        <w:rPr/>
      </w:pPr>
      <w:r>
        <w:rPr/>
        <w:t>​</w:t>
      </w:r>
    </w:p>
    <w:tbl>
      <w:tblPr>
        <w:tblW w:w="6200" w:type="dxa"/>
        <w:jc w:val="left"/>
        <w:tblInd w:w="0" w:type="dxa"/>
        <w:tblLayout w:type="fixed"/>
        <w:tblCellMar>
          <w:top w:w="0" w:type="dxa"/>
          <w:left w:w="0" w:type="dxa"/>
          <w:bottom w:w="0" w:type="dxa"/>
          <w:right w:w="0" w:type="dxa"/>
        </w:tblCellMar>
      </w:tblPr>
      <w:tblGrid>
        <w:gridCol w:w="2836"/>
        <w:gridCol w:w="346"/>
        <w:gridCol w:w="215"/>
        <w:gridCol w:w="911"/>
        <w:gridCol w:w="346"/>
        <w:gridCol w:w="268"/>
        <w:gridCol w:w="1278"/>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800860" cy="175260"/>
                      <wp:effectExtent l="0" t="0" r="0" b="0"/>
                      <wp:wrapNone/>
                      <wp:docPr id="540" name="Frame540"/>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19710" cy="175260"/>
                      <wp:effectExtent l="0" t="0" r="0" b="0"/>
                      <wp:wrapNone/>
                      <wp:docPr id="541"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136525" cy="175260"/>
                      <wp:effectExtent l="0" t="0" r="0" b="0"/>
                      <wp:wrapNone/>
                      <wp:docPr id="542" name="Frame54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78485" cy="175260"/>
                      <wp:effectExtent l="0" t="0" r="0" b="0"/>
                      <wp:wrapNone/>
                      <wp:docPr id="543" name="Frame543"/>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44"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70180" cy="175260"/>
                      <wp:effectExtent l="0" t="0" r="0" b="0"/>
                      <wp:wrapNone/>
                      <wp:docPr id="545" name="Frame545"/>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811530" cy="175260"/>
                      <wp:effectExtent l="0" t="0" r="0" b="0"/>
                      <wp:wrapNone/>
                      <wp:docPr id="546" name="Frame546"/>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2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1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 bearing demand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793,908</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725,656</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demand accounts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490,746</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2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419,604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accounts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9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255,135</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2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646,688</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 accounts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9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855,385</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2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359,415</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Certificates of deposit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36,017</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159,010</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deposits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2,431,191</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7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2,310,373</w:t>
            </w:r>
          </w:p>
        </w:tc>
      </w:tr>
    </w:tbl>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Time deposits that meet or exceed the FDIC insurance limit of $250 thousand at June 30, 2026 and December 31, 2025 were $11.5 million and $10.5 million, respectively.</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Scheduled maturities of time deposits for the next five years as of June 30, 2026, are as follows (In thousands):</w:t>
      </w:r>
    </w:p>
    <w:tbl>
      <w:tblPr>
        <w:tblW w:w="1729" w:type="dxa"/>
        <w:jc w:val="left"/>
        <w:tblInd w:w="0" w:type="dxa"/>
        <w:tblLayout w:type="fixed"/>
        <w:tblCellMar>
          <w:top w:w="0" w:type="dxa"/>
          <w:left w:w="0" w:type="dxa"/>
          <w:bottom w:w="0" w:type="dxa"/>
          <w:right w:w="0" w:type="dxa"/>
        </w:tblCellMar>
      </w:tblPr>
      <w:tblGrid>
        <w:gridCol w:w="481"/>
        <w:gridCol w:w="346"/>
        <w:gridCol w:w="196"/>
        <w:gridCol w:w="70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305435" cy="175260"/>
                      <wp:effectExtent l="0" t="0" r="0" b="0"/>
                      <wp:wrapNone/>
                      <wp:docPr id="547" name="Frame54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19710" cy="175260"/>
                      <wp:effectExtent l="0" t="0" r="0" b="0"/>
                      <wp:wrapNone/>
                      <wp:docPr id="548" name="Frame5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24460" cy="175260"/>
                      <wp:effectExtent l="0" t="0" r="0" b="0"/>
                      <wp:wrapNone/>
                      <wp:docPr id="549" name="Frame5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48310" cy="175260"/>
                      <wp:effectExtent l="0" t="0" r="0" b="0"/>
                      <wp:wrapNone/>
                      <wp:docPr id="550" name="Frame55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2026</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17,237</w:t>
            </w:r>
          </w:p>
        </w:tc>
      </w:tr>
      <w:tr>
        <w:trPr/>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9,718</w:t>
            </w:r>
          </w:p>
        </w:tc>
      </w:tr>
      <w:tr>
        <w:trPr/>
        <w:tc>
          <w:tcPr>
            <w:tcW w:w="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7,978</w:t>
            </w:r>
          </w:p>
        </w:tc>
      </w:tr>
      <w:tr>
        <w:trPr/>
        <w:tc>
          <w:tcPr>
            <w:tcW w:w="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1,084</w:t>
            </w:r>
          </w:p>
        </w:tc>
      </w:tr>
      <w:tr>
        <w:trPr/>
        <w:tc>
          <w:tcPr>
            <w:tcW w:w="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36,017</w:t>
            </w:r>
          </w:p>
        </w:tc>
      </w:tr>
    </w:tbl>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Deposits of executive officers, directors and principal officers of the Company, including their immediate families and companies in which they are affiliated, amounted to $12.4 million at June 30, 2026 and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12" w:name="Tc_RnV7E4cbP0uBes7GZ4OA_w_6_0"/>
      <w:bookmarkStart w:id="2313" w:name="Tc_kGhWMfNBXkGWgH_gdHpAeg_5_0"/>
      <w:bookmarkStart w:id="2314" w:name="Tc_qXQWF6KGYka4WYw5G6SYjg_4_0"/>
      <w:bookmarkStart w:id="2315" w:name="Tc_je2ldRrb8kyBkpTSWymVYQ_3_0"/>
      <w:bookmarkStart w:id="2316" w:name="Tc_0_iNJ_uCBE6F2Nl3fR4iGw_2_0"/>
      <w:bookmarkStart w:id="2317" w:name="Tc_3GYB8RWS0USUcgOeCedc8w_1_2"/>
      <w:bookmarkStart w:id="2318" w:name="_d7480504_b44a_474e_a41e_196260245570"/>
      <w:bookmarkStart w:id="2319" w:name="Tc_JZ-21UWVEEWQIlQqkWR7sA_9_12"/>
      <w:bookmarkStart w:id="2320" w:name="Tc_lwGftE5FeUetQlkhK97uWQ_9_9"/>
      <w:bookmarkStart w:id="2321" w:name="Tc_exMwHDg_d0yRq0-fDEiSag_9_5"/>
      <w:bookmarkStart w:id="2322" w:name="Tc_aZA8VPrlbUS1H3zdwS-SYQ_9_2"/>
      <w:bookmarkStart w:id="2323" w:name="Tc_sDZFpI-uREetbBGv6-buug_9_0"/>
      <w:bookmarkStart w:id="2324" w:name="Tc_0o8QjFNKO0iKRf-DRlSVag_8_0"/>
      <w:bookmarkStart w:id="2325" w:name="Tc_4O02pKehb0OS8tCOEnOT4g_7_13"/>
      <w:bookmarkStart w:id="2326" w:name="Tc_wA8CHQbDjU-8eVkCx4xsJw_7_10"/>
      <w:bookmarkStart w:id="2327" w:name="Tc_wTUzboFMIkmismvjrrNeTg_7_6"/>
      <w:bookmarkStart w:id="2328" w:name="Tc_RbfSLzwP4Um45gA9ni-pgA_7_3"/>
      <w:bookmarkStart w:id="2329" w:name="Tc_tJ4B2Z3KnEmlBt7MfOFHBQ_7_0"/>
      <w:bookmarkStart w:id="2330" w:name="Tc_5vVff0XUM0GiINQfQa3BbA_6_0"/>
      <w:bookmarkStart w:id="2331" w:name="Tc_cXCYxlx550aVk-8Or2qetw_5_0"/>
      <w:bookmarkStart w:id="2332" w:name="Tc__TzjAOQyWEOVeVIhoX5BRw_4_13"/>
      <w:bookmarkStart w:id="2333" w:name="Tc_X6ryYetgmU6PoJoOvWI_OQ_4_12"/>
      <w:bookmarkStart w:id="2334" w:name="Tc_q6L5SBxJTkaXLe6llZINlQ_4_10"/>
      <w:bookmarkStart w:id="2335" w:name="Tc_ZShsogg1aEanlqMNIhfbdQ_4_9"/>
      <w:bookmarkStart w:id="2336" w:name="Tc_-3fYTxOTzkiBQp4nXkSKcw_4_6"/>
      <w:bookmarkStart w:id="2337" w:name="Tc_Jw8Cp8FjW0e69IpA2H4wbg_4_5"/>
      <w:bookmarkStart w:id="2338" w:name="Tc_llNW2noZQ0WHuiKbqbiHWA_4_3"/>
      <w:bookmarkStart w:id="2339" w:name="Tc_3YKcX_ghREyB77poibHSjw_4_2"/>
      <w:bookmarkStart w:id="2340" w:name="Tc_b04u8cjaRk2NcawRFd9cHA_4_0"/>
      <w:bookmarkStart w:id="2341" w:name="Tc_0RdqLdt_DUavit1E02O4-w_3_2"/>
      <w:bookmarkStart w:id="2342" w:name="Tc_f8O9pqMCJEWlaN-NHH9OAA_2_12"/>
      <w:bookmarkStart w:id="2343" w:name="Tc_RU0SF2zT1kiFul8mN_b6Sg_2_9"/>
      <w:bookmarkStart w:id="2344" w:name="Tc_NBEMWR6M20matiausnCHKA_2_5"/>
      <w:bookmarkStart w:id="2345" w:name="Tc_lBV_qzA2NE-qaTWAJZiA8g_2_2"/>
      <w:bookmarkStart w:id="2346" w:name="Tc_S8N1V_O_BEGWx6EVcqyl5g_1_9"/>
      <w:bookmarkStart w:id="2347" w:name="Tc_ArBiwGr9uE2-6e2Caq1cRA_1_2"/>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r>
        <w:rPr>
          <w:rFonts w:ascii="Times New Roman;Times;serif" w:hAnsi="Times New Roman;Times;serif"/>
          <w:b/>
          <w:sz w:val="20"/>
        </w:rPr>
        <w:t>Note 6 — Pension Plan and Stock Compensation</w:t>
      </w:r>
    </w:p>
    <w:p>
      <w:pPr>
        <w:pStyle w:val="TextBody"/>
        <w:bidi w:val="0"/>
        <w:spacing w:before="0" w:after="200"/>
        <w:ind w:left="0" w:right="0" w:firstLine="403"/>
        <w:jc w:val="both"/>
        <w:rPr>
          <w:rFonts w:ascii="Times New Roman;Times;serif" w:hAnsi="Times New Roman;Times;serif"/>
          <w:sz w:val="20"/>
        </w:rPr>
      </w:pPr>
      <w:r>
        <w:rPr>
          <w:rFonts w:ascii="Times New Roman;Times;serif" w:hAnsi="Times New Roman;Times;serif"/>
          <w:sz w:val="20"/>
        </w:rPr>
        <w:t>The Bank has a funded noncontributory defined benefit pension plan that covers substantially all employees meeting certain eligibility requirements. The pension plan was closed to new participants and benefit accruals were frozen as of December 31, 2015. The plan provides defined benefits based on years of service and final average salary.</w:t>
      </w:r>
    </w:p>
    <w:p>
      <w:pPr>
        <w:pStyle w:val="TextBody"/>
        <w:bidi w:val="0"/>
        <w:spacing w:before="0" w:after="80"/>
        <w:ind w:left="0" w:right="0" w:firstLine="360"/>
        <w:jc w:val="both"/>
        <w:rPr>
          <w:rFonts w:ascii="Times New Roman;Times;serif" w:hAnsi="Times New Roman;Times;serif"/>
          <w:sz w:val="20"/>
        </w:rPr>
      </w:pPr>
      <w:r>
        <w:rPr>
          <w:rFonts w:ascii="Times New Roman;Times;serif" w:hAnsi="Times New Roman;Times;serif"/>
          <w:sz w:val="20"/>
        </w:rPr>
        <w:t>The components of net periodic benefit for the Company’s noncontributory defined benefit pension plan for the three and six months ended June 30, 2026 and 2025 are as follows:</w:t>
      </w:r>
    </w:p>
    <w:p>
      <w:pPr>
        <w:pStyle w:val="TextBody"/>
        <w:bidi w:val="0"/>
        <w:spacing w:before="0" w:after="0"/>
        <w:ind w:left="0" w:right="0" w:hanging="0"/>
        <w:jc w:val="left"/>
        <w:rPr/>
      </w:pPr>
      <w:r>
        <w:rPr/>
        <w:t>​</w:t>
      </w:r>
    </w:p>
    <w:tbl>
      <w:tblPr>
        <w:tblW w:w="7311" w:type="dxa"/>
        <w:jc w:val="left"/>
        <w:tblInd w:w="0" w:type="dxa"/>
        <w:tblLayout w:type="fixed"/>
        <w:tblCellMar>
          <w:top w:w="0" w:type="dxa"/>
          <w:left w:w="0" w:type="dxa"/>
          <w:bottom w:w="0" w:type="dxa"/>
          <w:right w:w="0" w:type="dxa"/>
        </w:tblCellMar>
      </w:tblPr>
      <w:tblGrid>
        <w:gridCol w:w="2281"/>
        <w:gridCol w:w="346"/>
        <w:gridCol w:w="261"/>
        <w:gridCol w:w="662"/>
        <w:gridCol w:w="462"/>
        <w:gridCol w:w="261"/>
        <w:gridCol w:w="662"/>
        <w:gridCol w:w="109"/>
        <w:gridCol w:w="109"/>
        <w:gridCol w:w="238"/>
        <w:gridCol w:w="603"/>
        <w:gridCol w:w="421"/>
        <w:gridCol w:w="238"/>
        <w:gridCol w:w="658"/>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448435" cy="175260"/>
                      <wp:effectExtent l="0" t="0" r="0" b="0"/>
                      <wp:wrapNone/>
                      <wp:docPr id="551" name="Frame551"/>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19710" cy="175260"/>
                      <wp:effectExtent l="0" t="0" r="0" b="0"/>
                      <wp:wrapNone/>
                      <wp:docPr id="552" name="Frame5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65735" cy="175260"/>
                      <wp:effectExtent l="0" t="0" r="0" b="0"/>
                      <wp:wrapNone/>
                      <wp:docPr id="553" name="Frame55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420370" cy="175260"/>
                      <wp:effectExtent l="0" t="0" r="0" b="0"/>
                      <wp:wrapNone/>
                      <wp:docPr id="554" name="Frame554"/>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93370" cy="175260"/>
                      <wp:effectExtent l="0" t="0" r="0" b="0"/>
                      <wp:wrapNone/>
                      <wp:docPr id="555" name="Frame555"/>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65735" cy="175260"/>
                      <wp:effectExtent l="0" t="0" r="0" b="0"/>
                      <wp:wrapNone/>
                      <wp:docPr id="556" name="Frame55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420370" cy="175260"/>
                      <wp:effectExtent l="0" t="0" r="0" b="0"/>
                      <wp:wrapNone/>
                      <wp:docPr id="557" name="Frame557"/>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9215" cy="175260"/>
                      <wp:effectExtent l="0" t="0" r="0" b="0"/>
                      <wp:wrapNone/>
                      <wp:docPr id="558" name="Frame5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215" cy="175260"/>
                      <wp:effectExtent l="0" t="0" r="0" b="0"/>
                      <wp:wrapNone/>
                      <wp:docPr id="559" name="Frame5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51130" cy="175260"/>
                      <wp:effectExtent l="0" t="0" r="0" b="0"/>
                      <wp:wrapNone/>
                      <wp:docPr id="560" name="Frame56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382905" cy="175260"/>
                      <wp:effectExtent l="0" t="0" r="0" b="0"/>
                      <wp:wrapNone/>
                      <wp:docPr id="561" name="Frame561"/>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67335" cy="175260"/>
                      <wp:effectExtent l="0" t="0" r="0" b="0"/>
                      <wp:wrapNone/>
                      <wp:docPr id="562" name="Frame56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51130" cy="175260"/>
                      <wp:effectExtent l="0" t="0" r="0" b="0"/>
                      <wp:wrapNone/>
                      <wp:docPr id="563" name="Frame56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417830" cy="175260"/>
                      <wp:effectExtent l="0" t="0" r="0" b="0"/>
                      <wp:wrapNone/>
                      <wp:docPr id="564" name="Frame56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2" w:type="dxa"/>
            <w:tcBorders/>
            <w:vAlign w:val="center"/>
          </w:tcPr>
          <w:p>
            <w:pPr>
              <w:pStyle w:val="TableContents"/>
              <w:bidi w:val="0"/>
              <w:spacing w:before="0" w:after="1"/>
              <w:ind w:left="0" w:right="0" w:hanging="0"/>
              <w:jc w:val="left"/>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1" w:type="dxa"/>
            <w:tcBorders/>
            <w:vAlign w:val="center"/>
          </w:tcPr>
          <w:p>
            <w:pPr>
              <w:pStyle w:val="TableContents"/>
              <w:bidi w:val="0"/>
              <w:spacing w:before="0" w:after="1"/>
              <w:ind w:left="0" w:right="0" w:hanging="0"/>
              <w:jc w:val="left"/>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11"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22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84" w:type="dxa"/>
            <w:gridSpan w:val="1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 cost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shd w:fill="CCEEFF" w:val="clear"/>
            <w:vAlign w:val="center"/>
          </w:tcPr>
          <w:p>
            <w:pPr>
              <w:pStyle w:val="TableContents"/>
              <w:bidi w:val="0"/>
              <w:spacing w:before="0" w:after="1"/>
              <w:ind w:left="0" w:right="0" w:hanging="0"/>
              <w:jc w:val="right"/>
              <w:rPr/>
            </w:pPr>
            <w:r>
              <w:rPr/>
              <w:t>—</w:t>
            </w:r>
          </w:p>
        </w:tc>
        <w:tc>
          <w:tcPr>
            <w:tcW w:w="462"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3"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8" w:type="dxa"/>
            <w:tcBorders/>
            <w:shd w:fill="CCEEFF" w:val="clear"/>
            <w:vAlign w:val="center"/>
          </w:tcPr>
          <w:p>
            <w:pPr>
              <w:pStyle w:val="TableContents"/>
              <w:bidi w:val="0"/>
              <w:spacing w:before="0" w:after="1"/>
              <w:ind w:left="0" w:right="0" w:hanging="0"/>
              <w:jc w:val="right"/>
              <w:rPr/>
            </w:pPr>
            <w:r>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cost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w:t>
            </w:r>
          </w:p>
        </w:tc>
        <w:tc>
          <w:tcPr>
            <w:tcW w:w="462"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514</w:t>
            </w:r>
          </w:p>
        </w:tc>
        <w:tc>
          <w:tcPr>
            <w:tcW w:w="421"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return on plan assets</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w:t>
            </w:r>
          </w:p>
        </w:tc>
        <w:tc>
          <w:tcPr>
            <w:tcW w:w="462"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60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(980)</w:t>
            </w:r>
          </w:p>
        </w:tc>
        <w:tc>
          <w:tcPr>
            <w:tcW w:w="421"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(915)</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transition cost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662" w:type="dxa"/>
            <w:tcBorders/>
            <w:vAlign w:val="center"/>
          </w:tcPr>
          <w:p>
            <w:pPr>
              <w:pStyle w:val="TableContents"/>
              <w:bidi w:val="0"/>
              <w:spacing w:before="0" w:after="1"/>
              <w:ind w:left="0" w:right="0" w:hanging="0"/>
              <w:jc w:val="right"/>
              <w:rPr/>
            </w:pPr>
            <w:r>
              <w:rPr/>
              <w:t>—</w:t>
            </w:r>
          </w:p>
        </w:tc>
        <w:tc>
          <w:tcPr>
            <w:tcW w:w="462"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66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603"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pPr>
            <w:r>
              <w:rPr/>
              <w:t>—</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c>
          <w:tcPr>
            <w:tcW w:w="462"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w:t>
            </w:r>
          </w:p>
        </w:tc>
        <w:tc>
          <w:tcPr>
            <w:tcW w:w="421"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periodic benefit</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w:t>
            </w:r>
          </w:p>
        </w:tc>
        <w:tc>
          <w:tcPr>
            <w:tcW w:w="462"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(364)</w:t>
            </w:r>
          </w:p>
        </w:tc>
        <w:tc>
          <w:tcPr>
            <w:tcW w:w="421"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w:t>
            </w:r>
          </w:p>
        </w:tc>
      </w:tr>
    </w:tbl>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March 16, 2023, the Board of Directors approved the Orange County Bancorp, Inc. 2023 Equity Incentive Plan (the “2023 Plan”), which provided for the issuance of 500,000 shares of Common Stock, plus the remaining shares under the 2019 plan. The restricted stock units granted, generally, will vest over three years in approximately 33% increments on the first, </w:t>
      </w:r>
      <w:r>
        <w:rPr>
          <w:rFonts w:ascii="Times New Roman;Times;serif" w:hAnsi="Times New Roman;Times;serif"/>
          <w:b w:val="false"/>
          <w:i w:val="false"/>
          <w:caps w:val="false"/>
          <w:smallCaps w:val="false"/>
          <w:sz w:val="20"/>
        </w:rPr>
        <w:t>second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anniversary of the date of grant.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three months ended June 30, 2026 and 2025, the Company’s recognized stock-based compensation costs were $1.1 million and $560 thousand, respectively. For the six months ended June 30, 2026 and 2025 the Company’s recognized stock-based compensation costs of $2.2 million and $1.0 million, respectively. The Company uses the fair value of the common stock on the date of award to measure compensation cost for restricted stock units. Compensation cost is recognized over the vesting period of the award using the straight line method. There were 95,452 restricted stock units granted during the three and six months ended June 30, 2026 and 89,621 restricted stock units granted during the three and six months ended June 30, 2025. The grants generally vest at the rate of 33% per year with full vesting on the third anniversary date of the grant.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the Company reclassified approximately $2.3 million from accrued compensation liabilities into stockholders’ equity. The reclassification did not have a material impact on net income. Following the modification, the awards are no longer subject to periodic fair value remeasurement, and compensation expense will continue to be recognized over the remaining requisite service period.</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NewRomanPSMT" w:hAnsi="TimesNewRomanPSMT"/>
          <w:sz w:val="20"/>
        </w:rPr>
      </w:pPr>
      <w:r>
        <w:rPr>
          <w:rFonts w:ascii="TimesNewRomanPSMT" w:hAnsi="TimesNewRomanPSMT"/>
          <w:sz w:val="20"/>
        </w:rPr>
        <w:t xml:space="preserve">The following table summarizes the activity of  Restricted Stock Units, or RSUs during the six months ended June 30, 2026: </w:t>
      </w:r>
    </w:p>
    <w:p>
      <w:pPr>
        <w:pStyle w:val="TextBody"/>
        <w:bidi w:val="0"/>
        <w:spacing w:before="0" w:after="0"/>
        <w:ind w:left="0" w:right="0" w:hanging="0"/>
        <w:jc w:val="left"/>
        <w:rPr/>
      </w:pPr>
      <w:r>
        <w:rPr/>
        <w:t>​</w:t>
      </w:r>
    </w:p>
    <w:tbl>
      <w:tblPr>
        <w:tblW w:w="4933" w:type="dxa"/>
        <w:jc w:val="left"/>
        <w:tblInd w:w="0" w:type="dxa"/>
        <w:tblLayout w:type="fixed"/>
        <w:tblCellMar>
          <w:top w:w="0" w:type="dxa"/>
          <w:left w:w="0" w:type="dxa"/>
          <w:bottom w:w="0" w:type="dxa"/>
          <w:right w:w="0" w:type="dxa"/>
        </w:tblCellMar>
      </w:tblPr>
      <w:tblGrid>
        <w:gridCol w:w="3031"/>
        <w:gridCol w:w="146"/>
        <w:gridCol w:w="175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924685" cy="175260"/>
                      <wp:effectExtent l="0" t="0" r="0" b="0"/>
                      <wp:wrapNone/>
                      <wp:docPr id="565" name="Frame565"/>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92710" cy="175260"/>
                      <wp:effectExtent l="0" t="0" r="0" b="0"/>
                      <wp:wrapNone/>
                      <wp:docPr id="566" name="Frame5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115060" cy="175260"/>
                      <wp:effectExtent l="0" t="0" r="0" b="0"/>
                      <wp:wrapNone/>
                      <wp:docPr id="567" name="Frame567"/>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Units</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Non-vested RSUs at beginning of period</w:t>
            </w:r>
          </w:p>
        </w:tc>
        <w:tc>
          <w:tcPr>
            <w:tcW w:w="146" w:type="dxa"/>
            <w:tcBorders/>
            <w:shd w:fill="CCEEFF" w:val="clear"/>
            <w:vAlign w:val="center"/>
          </w:tcPr>
          <w:p>
            <w:pPr>
              <w:pStyle w:val="TableContents"/>
              <w:bidi w:val="0"/>
              <w:spacing w:before="0" w:after="0"/>
              <w:ind w:left="0" w:right="0" w:hanging="0"/>
              <w:jc w:val="left"/>
              <w:rPr/>
            </w:pPr>
            <w:r>
              <w:rPr/>
              <w:t> </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187,456</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Granted</w:t>
            </w:r>
          </w:p>
        </w:tc>
        <w:tc>
          <w:tcPr>
            <w:tcW w:w="146" w:type="dxa"/>
            <w:tcBorders/>
            <w:vAlign w:val="center"/>
          </w:tcPr>
          <w:p>
            <w:pPr>
              <w:pStyle w:val="TableContents"/>
              <w:bidi w:val="0"/>
              <w:spacing w:before="0" w:after="0"/>
              <w:ind w:left="0" w:right="0" w:hanging="0"/>
              <w:jc w:val="left"/>
              <w:rPr/>
            </w:pPr>
            <w:r>
              <w:rPr/>
              <w:t> </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95,452</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Vested</w:t>
            </w:r>
          </w:p>
        </w:tc>
        <w:tc>
          <w:tcPr>
            <w:tcW w:w="146" w:type="dxa"/>
            <w:tcBorders/>
            <w:shd w:fill="CCEEFF" w:val="clear"/>
            <w:vAlign w:val="center"/>
          </w:tcPr>
          <w:p>
            <w:pPr>
              <w:pStyle w:val="TableContents"/>
              <w:bidi w:val="0"/>
              <w:spacing w:before="0" w:after="0"/>
              <w:ind w:left="0" w:right="0" w:hanging="0"/>
              <w:jc w:val="left"/>
              <w:rPr/>
            </w:pPr>
            <w:r>
              <w:rPr/>
              <w:t> </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(72,582)</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Forfeited</w:t>
            </w:r>
          </w:p>
        </w:tc>
        <w:tc>
          <w:tcPr>
            <w:tcW w:w="146" w:type="dxa"/>
            <w:tcBorders/>
            <w:vAlign w:val="center"/>
          </w:tcPr>
          <w:p>
            <w:pPr>
              <w:pStyle w:val="TableContents"/>
              <w:bidi w:val="0"/>
              <w:spacing w:before="0" w:after="0"/>
              <w:ind w:left="0" w:right="0" w:hanging="0"/>
              <w:jc w:val="left"/>
              <w:rPr/>
            </w:pPr>
            <w:r>
              <w:rPr/>
              <w:t> </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(1,348)</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Non-vested RSUs at end of period</w:t>
            </w:r>
          </w:p>
        </w:tc>
        <w:tc>
          <w:tcPr>
            <w:tcW w:w="146" w:type="dxa"/>
            <w:tcBorders/>
            <w:shd w:fill="CCEEFF" w:val="clear"/>
            <w:vAlign w:val="center"/>
          </w:tcPr>
          <w:p>
            <w:pPr>
              <w:pStyle w:val="TableContents"/>
              <w:bidi w:val="0"/>
              <w:spacing w:before="0" w:after="0"/>
              <w:ind w:left="0" w:right="0" w:hanging="0"/>
              <w:jc w:val="left"/>
              <w:rPr/>
            </w:pPr>
            <w:r>
              <w:rPr/>
              <w:t> </w:t>
            </w:r>
          </w:p>
        </w:tc>
        <w:tc>
          <w:tcPr>
            <w:tcW w:w="17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208,978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bookmarkStart w:id="2348" w:name="Tc_IpzNFPf-d0CXKqx_WASC9w_12_11"/>
      <w:bookmarkStart w:id="2349" w:name="Tc_9aR_vZUW20K3SpZXEsK_gw_12_8"/>
      <w:bookmarkStart w:id="2350" w:name="Tc_Itzt6Ffa6kiBfi0pxr65-g_12_5"/>
      <w:bookmarkStart w:id="2351" w:name="Tc_rXeW8uGcTk6ACMEKuqG9tQ_12_2"/>
      <w:bookmarkStart w:id="2352" w:name="Tc_myif4rpapEipkoiZFm918g_12_0"/>
      <w:bookmarkStart w:id="2353" w:name="Tc_LNRdGtXHWU6BQW-RLORXMw_11_0"/>
      <w:bookmarkStart w:id="2354" w:name="Tc_K0VMWfI810-8faPGqqbSHw_10_12"/>
      <w:bookmarkStart w:id="2355" w:name="Tc_VBwGb-O6jUq9rG8N-zcVJA_10_9"/>
      <w:bookmarkStart w:id="2356" w:name="Tc_lgJjNaqI-0-Pgnu2_87Lhw_10_6"/>
      <w:bookmarkStart w:id="2357" w:name="Tc_sVEXUrLk2U26ajLVHoBpSQ_10_3"/>
      <w:bookmarkStart w:id="2358" w:name="Tc_EeUxB7s9akKYSRLZTMFlYA_10_0"/>
      <w:bookmarkStart w:id="2359" w:name="Tc_l9jJY4a2vEGcEj3H6Y1L-A_9_0"/>
      <w:bookmarkStart w:id="2360" w:name="Tc_BKH-t77Mkkq00l_abv8eag_8_11"/>
      <w:bookmarkStart w:id="2361" w:name="Tc_mBXsW4UfwUWOu3Or-yKd3g_8_8"/>
      <w:bookmarkStart w:id="2362" w:name="Tc_riQ9ZWaPnk6deGWVL6HJIQ_8_5"/>
      <w:bookmarkStart w:id="2363" w:name="Tc_Qpf7fNOhl0m04E-Xrmbyyw_8_2"/>
      <w:bookmarkStart w:id="2364" w:name="Tc__m-YrSaBDkS0Xfyo1HF1kQ_8_0"/>
      <w:bookmarkStart w:id="2365" w:name="Tc_XS43Ay2z5kWnJ1BtRYxGCA_7_2"/>
      <w:bookmarkStart w:id="2366" w:name="Tc_H85qTIHhx0yvEWLg_Sx_dA_6_11"/>
      <w:bookmarkStart w:id="2367" w:name="Tc_s5DKPY3170aPU5QGu9i-Fg_6_8"/>
      <w:bookmarkStart w:id="2368" w:name="Tc_tb3edVUOvEOdZidhvhYSmg_6_5"/>
      <w:bookmarkStart w:id="2369" w:name="Tc_f1Sxm77WyEi6imQBgruCzw_6_2"/>
      <w:bookmarkStart w:id="2370" w:name="Tc_wF1nXY3Zf02reaBZ3icQkA_5_8"/>
      <w:bookmarkStart w:id="2371" w:name="Tc_gcVkyn6YPU27BiALWpv5fA_5_5"/>
      <w:bookmarkStart w:id="2372" w:name="Tc_ryVl7KtjMUC0vN2vNWFW1A_5_2"/>
      <w:bookmarkStart w:id="2373" w:name="Tc_EvP2zzRyI06avyU66_Dc8g_4_8"/>
      <w:bookmarkStart w:id="2374" w:name="Tc_cg0wniPKZUa-LpxCBifvpA_4_2"/>
      <w:bookmarkStart w:id="2375" w:name="Tc_1r5cYbB930-TBVPlWdfCaQ_3_2"/>
      <w:bookmarkStart w:id="2376" w:name="Tc_zts03K51EE-w16nfEtAVIw_2_2"/>
      <w:bookmarkStart w:id="2377" w:name="Tc_aFoBb1YyDE2b0flqCgLUrg_1_2"/>
      <w:bookmarkStart w:id="2378" w:name="_7df81102_1f24_41d8_83f5_d67de957c9d6"/>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7 — Accumulated Other Comprehensive Income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are changes in the accumulated other comprehensive income (loss) by component, net of tax, for the three and six months ended June 30, 2026 and 2025.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70"/>
        <w:gridCol w:w="346"/>
        <w:gridCol w:w="251"/>
        <w:gridCol w:w="885"/>
        <w:gridCol w:w="109"/>
        <w:gridCol w:w="282"/>
        <w:gridCol w:w="906"/>
        <w:gridCol w:w="109"/>
        <w:gridCol w:w="411"/>
        <w:gridCol w:w="730"/>
        <w:gridCol w:w="146"/>
        <w:gridCol w:w="196"/>
        <w:gridCol w:w="764"/>
      </w:tblGrid>
      <w:tr>
        <w:trPr/>
        <w:tc>
          <w:tcPr>
            <w:tcW w:w="5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3219450" cy="175260"/>
                      <wp:effectExtent l="0" t="0" r="0" b="0"/>
                      <wp:wrapNone/>
                      <wp:docPr id="568" name="Frame568"/>
                      <a:graphic xmlns:a="http://schemas.openxmlformats.org/drawingml/2006/main">
                        <a:graphicData uri="http://schemas.microsoft.com/office/word/2010/wordprocessingShape">
                          <wps:wsp>
                            <wps:cNvSpPr txBox="1"/>
                            <wps:spPr>
                              <a:xfrm>
                                <a:off x="0" y="0"/>
                                <a:ext cx="321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9710" cy="175260"/>
                      <wp:effectExtent l="0" t="0" r="0" b="0"/>
                      <wp:wrapNone/>
                      <wp:docPr id="569" name="Frame5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59385" cy="175260"/>
                      <wp:effectExtent l="0" t="0" r="0" b="0"/>
                      <wp:wrapNone/>
                      <wp:docPr id="570" name="Frame57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561975" cy="175260"/>
                      <wp:effectExtent l="0" t="0" r="0" b="0"/>
                      <wp:wrapNone/>
                      <wp:docPr id="571" name="Frame571"/>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9215" cy="175260"/>
                      <wp:effectExtent l="0" t="0" r="0" b="0"/>
                      <wp:wrapNone/>
                      <wp:docPr id="572" name="Frame5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79070" cy="175260"/>
                      <wp:effectExtent l="0" t="0" r="0" b="0"/>
                      <wp:wrapNone/>
                      <wp:docPr id="573" name="Frame573"/>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575310" cy="175260"/>
                      <wp:effectExtent l="0" t="0" r="0" b="0"/>
                      <wp:wrapNone/>
                      <wp:docPr id="574" name="Frame57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9215" cy="175260"/>
                      <wp:effectExtent l="0" t="0" r="0" b="0"/>
                      <wp:wrapNone/>
                      <wp:docPr id="575" name="Frame5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60985" cy="175260"/>
                      <wp:effectExtent l="0" t="0" r="0" b="0"/>
                      <wp:wrapNone/>
                      <wp:docPr id="576" name="Frame576"/>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463550" cy="175260"/>
                      <wp:effectExtent l="0" t="0" r="0" b="0"/>
                      <wp:wrapNone/>
                      <wp:docPr id="577" name="Frame577"/>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92710" cy="175260"/>
                      <wp:effectExtent l="0" t="0" r="0" b="0"/>
                      <wp:wrapNone/>
                      <wp:docPr id="578" name="Frame5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124460" cy="175260"/>
                      <wp:effectExtent l="0" t="0" r="0" b="0"/>
                      <wp:wrapNone/>
                      <wp:docPr id="579" name="Frame5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485140" cy="175260"/>
                      <wp:effectExtent l="0" t="0" r="0" b="0"/>
                      <wp:wrapNone/>
                      <wp:docPr id="580" name="Frame580"/>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478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50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1"/>
              <w:ind w:left="0" w:right="0" w:hanging="0"/>
              <w:jc w:val="center"/>
              <w:rPr/>
            </w:pPr>
            <w:r>
              <w:rPr/>
              <w:t>​</w:t>
            </w:r>
          </w:p>
        </w:tc>
        <w:tc>
          <w:tcPr>
            <w:tcW w:w="282" w:type="dxa"/>
            <w:tcBorders/>
            <w:vAlign w:val="center"/>
          </w:tcPr>
          <w:p>
            <w:pPr>
              <w:pStyle w:val="TableContents"/>
              <w:bidi w:val="0"/>
              <w:spacing w:before="0" w:after="1"/>
              <w:ind w:left="0" w:right="0" w:hanging="0"/>
              <w:jc w:val="center"/>
              <w:rPr/>
            </w:pPr>
            <w:r>
              <w:rPr/>
              <w:t>​</w:t>
            </w:r>
          </w:p>
        </w:tc>
        <w:tc>
          <w:tcPr>
            <w:tcW w:w="9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11" w:type="dxa"/>
            <w:tcBorders/>
            <w:vAlign w:val="center"/>
          </w:tcPr>
          <w:p>
            <w:pPr>
              <w:pStyle w:val="TableContents"/>
              <w:bidi w:val="0"/>
              <w:spacing w:before="0" w:after="1"/>
              <w:ind w:left="0" w:right="0" w:hanging="0"/>
              <w:jc w:val="center"/>
              <w:rPr/>
            </w:pPr>
            <w:r>
              <w:rPr/>
              <w:t>​</w:t>
            </w:r>
          </w:p>
        </w:tc>
        <w:tc>
          <w:tcPr>
            <w:tcW w:w="73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center"/>
              <w:rPr/>
            </w:pPr>
            <w:r>
              <w:rPr/>
              <w:t>​</w:t>
            </w:r>
          </w:p>
        </w:tc>
      </w:tr>
      <w:tr>
        <w:trPr/>
        <w:tc>
          <w:tcPr>
            <w:tcW w:w="50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and</w:t>
            </w:r>
          </w:p>
        </w:tc>
        <w:tc>
          <w:tcPr>
            <w:tcW w:w="109" w:type="dxa"/>
            <w:tcBorders/>
            <w:vAlign w:val="center"/>
          </w:tcPr>
          <w:p>
            <w:pPr>
              <w:pStyle w:val="TableContents"/>
              <w:bidi w:val="0"/>
              <w:spacing w:before="0" w:after="1"/>
              <w:ind w:left="0" w:right="0" w:hanging="0"/>
              <w:jc w:val="center"/>
              <w:rPr/>
            </w:pPr>
            <w:r>
              <w:rPr/>
              <w:t>​</w:t>
            </w:r>
          </w:p>
        </w:tc>
        <w:tc>
          <w:tcPr>
            <w:tcW w:w="282" w:type="dxa"/>
            <w:tcBorders/>
            <w:vAlign w:val="center"/>
          </w:tcPr>
          <w:p>
            <w:pPr>
              <w:pStyle w:val="TableContents"/>
              <w:bidi w:val="0"/>
              <w:spacing w:before="0" w:after="1"/>
              <w:ind w:left="0" w:right="0" w:hanging="0"/>
              <w:jc w:val="center"/>
              <w:rPr/>
            </w:pPr>
            <w:r>
              <w:rPr/>
              <w:t>​</w:t>
            </w:r>
          </w:p>
        </w:tc>
        <w:tc>
          <w:tcPr>
            <w:tcW w:w="9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11" w:type="dxa"/>
            <w:tcBorders/>
            <w:vAlign w:val="center"/>
          </w:tcPr>
          <w:p>
            <w:pPr>
              <w:pStyle w:val="TableContents"/>
              <w:bidi w:val="0"/>
              <w:spacing w:before="0" w:after="1"/>
              <w:ind w:left="0" w:right="0" w:hanging="0"/>
              <w:jc w:val="center"/>
              <w:rPr/>
            </w:pPr>
            <w:r>
              <w:rPr/>
              <w:t>​</w:t>
            </w:r>
          </w:p>
        </w:tc>
        <w:tc>
          <w:tcPr>
            <w:tcW w:w="73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center"/>
              <w:rPr/>
            </w:pPr>
            <w:r>
              <w:rPr/>
              <w:t> </w:t>
            </w:r>
          </w:p>
        </w:tc>
      </w:tr>
      <w:tr>
        <w:trPr/>
        <w:tc>
          <w:tcPr>
            <w:tcW w:w="50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w:t>
            </w:r>
          </w:p>
        </w:tc>
        <w:tc>
          <w:tcPr>
            <w:tcW w:w="109" w:type="dxa"/>
            <w:tcBorders/>
            <w:vAlign w:val="center"/>
          </w:tcPr>
          <w:p>
            <w:pPr>
              <w:pStyle w:val="TableContents"/>
              <w:bidi w:val="0"/>
              <w:spacing w:before="0" w:after="1"/>
              <w:ind w:left="0" w:right="0" w:hanging="0"/>
              <w:jc w:val="center"/>
              <w:rPr/>
            </w:pPr>
            <w:r>
              <w:rPr/>
              <w:t>​</w:t>
            </w:r>
          </w:p>
        </w:tc>
        <w:tc>
          <w:tcPr>
            <w:tcW w:w="282" w:type="dxa"/>
            <w:tcBorders/>
            <w:vAlign w:val="center"/>
          </w:tcPr>
          <w:p>
            <w:pPr>
              <w:pStyle w:val="TableContents"/>
              <w:bidi w:val="0"/>
              <w:spacing w:before="0" w:after="1"/>
              <w:ind w:left="0" w:right="0" w:hanging="0"/>
              <w:jc w:val="center"/>
              <w:rPr/>
            </w:pPr>
            <w:r>
              <w:rPr/>
              <w:t>​</w:t>
            </w:r>
          </w:p>
        </w:tc>
        <w:tc>
          <w:tcPr>
            <w:tcW w:w="90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1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center"/>
              <w:rPr/>
            </w:pPr>
            <w:r>
              <w:rPr/>
              <w:t> </w:t>
            </w:r>
          </w:p>
        </w:tc>
      </w:tr>
      <w:tr>
        <w:trPr/>
        <w:tc>
          <w:tcPr>
            <w:tcW w:w="50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Available-for-</w:t>
            </w:r>
          </w:p>
        </w:tc>
        <w:tc>
          <w:tcPr>
            <w:tcW w:w="109" w:type="dxa"/>
            <w:tcBorders/>
            <w:vAlign w:val="center"/>
          </w:tcPr>
          <w:p>
            <w:pPr>
              <w:pStyle w:val="TableContents"/>
              <w:bidi w:val="0"/>
              <w:spacing w:before="0" w:after="1"/>
              <w:ind w:left="0" w:right="0" w:hanging="0"/>
              <w:jc w:val="center"/>
              <w:rPr/>
            </w:pPr>
            <w:r>
              <w:rPr/>
              <w:t>​</w:t>
            </w:r>
          </w:p>
        </w:tc>
        <w:tc>
          <w:tcPr>
            <w:tcW w:w="118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center"/>
              <w:rPr/>
            </w:pPr>
            <w:r>
              <w:rPr/>
              <w:t> </w:t>
            </w:r>
          </w:p>
        </w:tc>
      </w:tr>
      <w:tr>
        <w:trPr/>
        <w:tc>
          <w:tcPr>
            <w:tcW w:w="50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 Securities</w:t>
            </w:r>
          </w:p>
        </w:tc>
        <w:tc>
          <w:tcPr>
            <w:tcW w:w="109" w:type="dxa"/>
            <w:tcBorders/>
            <w:vAlign w:val="center"/>
          </w:tcPr>
          <w:p>
            <w:pPr>
              <w:pStyle w:val="TableContents"/>
              <w:bidi w:val="0"/>
              <w:spacing w:before="0" w:after="1"/>
              <w:ind w:left="0" w:right="0" w:hanging="0"/>
              <w:jc w:val="center"/>
              <w:rPr/>
            </w:pPr>
            <w:r>
              <w:rPr/>
              <w:t>​</w:t>
            </w:r>
          </w:p>
        </w:tc>
        <w:tc>
          <w:tcPr>
            <w:tcW w:w="11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Pension Items</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Liability</w:t>
            </w:r>
          </w:p>
        </w:tc>
        <w:tc>
          <w:tcPr>
            <w:tcW w:w="146" w:type="dxa"/>
            <w:tcBorders/>
            <w:vAlign w:val="center"/>
          </w:tcPr>
          <w:p>
            <w:pPr>
              <w:pStyle w:val="TableContents"/>
              <w:bidi w:val="0"/>
              <w:spacing w:before="0" w:after="1"/>
              <w:ind w:left="0" w:right="0" w:hanging="0"/>
              <w:jc w:val="center"/>
              <w:rPr/>
            </w:pPr>
            <w:r>
              <w:rPr/>
              <w:t>​</w:t>
            </w:r>
          </w:p>
        </w:tc>
        <w:tc>
          <w:tcPr>
            <w:tcW w:w="9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7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789"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07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(44,585)</w:t>
            </w:r>
          </w:p>
        </w:tc>
        <w:tc>
          <w:tcPr>
            <w:tcW w:w="109"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(6,124)</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(50,625)</w:t>
            </w:r>
          </w:p>
        </w:tc>
      </w:tr>
      <w:tr>
        <w:trPr/>
        <w:tc>
          <w:tcPr>
            <w:tcW w:w="507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income/(loss) before reclassification, net</w:t>
            </w:r>
          </w:p>
        </w:tc>
        <w:tc>
          <w:tcPr>
            <w:tcW w:w="34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1,262</w:t>
            </w:r>
          </w:p>
        </w:tc>
        <w:tc>
          <w:tcPr>
            <w:tcW w:w="109" w:type="dxa"/>
            <w:tcBorders/>
            <w:vAlign w:val="center"/>
          </w:tcPr>
          <w:p>
            <w:pPr>
              <w:pStyle w:val="TableContents"/>
              <w:bidi w:val="0"/>
              <w:spacing w:before="0" w:after="1"/>
              <w:ind w:left="0" w:right="0" w:hanging="0"/>
              <w:jc w:val="left"/>
              <w:rPr/>
            </w:pPr>
            <w:r>
              <w:rPr/>
              <w:t>​</w:t>
            </w:r>
          </w:p>
        </w:tc>
        <w:tc>
          <w:tcPr>
            <w:tcW w:w="282"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109"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w:t>
            </w:r>
          </w:p>
        </w:tc>
      </w:tr>
      <w:tr>
        <w:trPr/>
        <w:tc>
          <w:tcPr>
            <w:tcW w:w="507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amounts reclassified from accumulated 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07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current period other comprehensive income/(loss)</w:t>
            </w:r>
          </w:p>
        </w:tc>
        <w:tc>
          <w:tcPr>
            <w:tcW w:w="34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1,262</w:t>
            </w:r>
          </w:p>
        </w:tc>
        <w:tc>
          <w:tcPr>
            <w:tcW w:w="109"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109" w:type="dxa"/>
            <w:tcBorders/>
            <w:vAlign w:val="center"/>
          </w:tcPr>
          <w:p>
            <w:pPr>
              <w:pStyle w:val="TableContents"/>
              <w:bidi w:val="0"/>
              <w:spacing w:before="0" w:after="1"/>
              <w:ind w:left="0" w:right="0" w:hanging="0"/>
              <w:jc w:val="left"/>
              <w:rPr/>
            </w:pPr>
            <w:r>
              <w:rPr/>
              <w:t>​</w:t>
            </w:r>
          </w:p>
        </w:tc>
        <w:tc>
          <w:tcPr>
            <w:tcW w:w="4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1,379</w:t>
            </w:r>
          </w:p>
        </w:tc>
      </w:tr>
      <w:tr>
        <w:trPr/>
        <w:tc>
          <w:tcPr>
            <w:tcW w:w="507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Ending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(43,323)</w:t>
            </w:r>
          </w:p>
        </w:tc>
        <w:tc>
          <w:tcPr>
            <w:tcW w:w="109"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(6,004)</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(49,246)</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bookmarkStart w:id="2379" w:name="Tc_RD3c0IDHA0KGBmxMIMXkig_17_11"/>
      <w:bookmarkStart w:id="2380" w:name="Tc_c0_M_uSA50WDLT5Log3hqw_17_9"/>
      <w:bookmarkStart w:id="2381" w:name="Tc_e1PMMAWqA0u8jKALzDBJtg_17_8"/>
      <w:bookmarkStart w:id="2382" w:name="Tc_5FT4GlGX4k6qy9kHNpsOew_17_5"/>
      <w:bookmarkStart w:id="2383" w:name="Tc_mmJJz0qBb0Spbg0r86hL3g_17_3"/>
      <w:bookmarkStart w:id="2384" w:name="Tc_aXAjssGgFUKB3ySUJhqtnw_17_2"/>
      <w:bookmarkStart w:id="2385" w:name="Tc_O6DUs_SvbkWdssA6QlWPLg_17_0"/>
      <w:bookmarkStart w:id="2386" w:name="Tc_EUhDAADQ3kSVobfcBCgvXQ_16_12"/>
      <w:bookmarkStart w:id="2387" w:name="Tc_olENhoHwPUWennbNoMwuIQ_16_9"/>
      <w:bookmarkStart w:id="2388" w:name="Tc_KMCO5qRCY0K-5gWm8-QKbA_16_6"/>
      <w:bookmarkStart w:id="2389" w:name="Tc_c6Tl2cYKFkeJ9Yuui7WjNw_16_3"/>
      <w:bookmarkStart w:id="2390" w:name="Tc_QudB5PSnzEW6Mk9HU3hbOg_16_0"/>
      <w:bookmarkStart w:id="2391" w:name="Tc_-lTgxzBNbUK3cTI6WH1mQg_15_14"/>
      <w:bookmarkStart w:id="2392" w:name="Tc_leXe9dgV_ECEJ7_MkjC0zw_15_12"/>
      <w:bookmarkStart w:id="2393" w:name="Tc_g3_g5iX-wUCiaRH1WAGASQ_15_9"/>
      <w:bookmarkStart w:id="2394" w:name="Tc_HiY-Yz7qpkydz_nSq4d3ng_15_6"/>
      <w:bookmarkStart w:id="2395" w:name="Tc_lICo_OSEG0KPiafosn6uwA_15_3"/>
      <w:bookmarkStart w:id="2396" w:name="Tc_jeZRz32xiEOdnWdcOlLcGg_15_0"/>
      <w:bookmarkStart w:id="2397" w:name="Tc_ALdaNfGLWUyd7Yjb3Fmo3g_14_12"/>
      <w:bookmarkStart w:id="2398" w:name="Tc_8Gia2iz_ukup2dtjbpaXdQ_14_9"/>
      <w:bookmarkStart w:id="2399" w:name="Tc_qZrU91kZk0Ga3D98iGL8Uw_14_6"/>
      <w:bookmarkStart w:id="2400" w:name="Tc_7xmccg6630KtuA88PNtUPA_14_3"/>
      <w:bookmarkStart w:id="2401" w:name="Tc_ZBkNkgr-2k2r_ce7eLXsow_14_0"/>
      <w:bookmarkStart w:id="2402" w:name="Tc_dpDVI9dWa06Ml0vMVFsxSQ_13_14"/>
      <w:bookmarkStart w:id="2403" w:name="Tc_GoyeAVdlW06ZkyIWByvH4A_13_12"/>
      <w:bookmarkStart w:id="2404" w:name="Tc_rG0ErR93ukC0DHycg_teLw_13_9"/>
      <w:bookmarkStart w:id="2405" w:name="Tc_6QKAOda8T0mbaEM4gj-_ZA_13_6"/>
      <w:bookmarkStart w:id="2406" w:name="Tc_sgln1FaxNkeXZw7BZKR1Ow_13_3"/>
      <w:bookmarkStart w:id="2407" w:name="Tc_eIKKZz7u6E-iHBl3f1he4g_13_0"/>
      <w:bookmarkStart w:id="2408" w:name="Tc_dVd-dEJyzUuQ992l9pEYZw_12_14"/>
      <w:bookmarkStart w:id="2409" w:name="Tc_f8sKC_bxKEqyUnc2BkzjsQ_12_12"/>
      <w:bookmarkStart w:id="2410" w:name="Tc_cxM7OBD_C0u5F6S8JUrUfA_12_9"/>
      <w:bookmarkStart w:id="2411" w:name="Tc_ZnA1W8Rbqk6SpOsRxQMzvQ_12_6"/>
      <w:bookmarkStart w:id="2412" w:name="Tc_FkIDfDXn20-HxYFp1NnPZQ_12_3"/>
      <w:bookmarkStart w:id="2413" w:name="Tc_k4Gq4xMwvE-_5u3RyN4x_g_12_0"/>
      <w:bookmarkStart w:id="2414" w:name="Tc_49M2-T9Or0CaKGSB66s68w_11_0"/>
      <w:bookmarkStart w:id="2415" w:name="Tc_52cjRL1Bp0OZ7LxJGiqqpg_10_9"/>
      <w:bookmarkStart w:id="2416" w:name="Tc_A8llNbfho02ZN8hJMcVdFg_10_3"/>
      <w:bookmarkStart w:id="2417" w:name="Tc_yWjkLn1iHUCUnPJPy8yzpg_10_0"/>
      <w:bookmarkStart w:id="2418" w:name="Tc_xc4HfJWMZUSUTLnzRF_n6Q_9_14"/>
      <w:bookmarkStart w:id="2419" w:name="Tc_FgKU8Y0SQ0ubeqUYQxemcg_9_9"/>
      <w:bookmarkStart w:id="2420" w:name="Tc_7sR-jo1MpU2yNeL6SeaeTQ_9_3"/>
      <w:bookmarkStart w:id="2421" w:name="Tc_nBw_cW-Oj02986YTamUUGQ_9_0"/>
      <w:bookmarkStart w:id="2422" w:name="Tc_wSPgjZQuQU2DKmeA9uGpDA_8_9"/>
      <w:bookmarkStart w:id="2423" w:name="Tc_TvpHS1LYJUmdkkMS0HceJA_8_3"/>
      <w:bookmarkStart w:id="2424" w:name="Tc_OCv83cHmdUKb0rDUCyXm7A_8_0"/>
      <w:bookmarkStart w:id="2425" w:name="Tc_Pn-2F-PXu0yYWHkau6S8dQ_7_14"/>
      <w:bookmarkStart w:id="2426" w:name="Tc_CxSZ2xq0y0uXDg5XMR5TZg_7_11"/>
      <w:bookmarkStart w:id="2427" w:name="Tc_jLRoNIrQm0mKt9VcsSvuHA_7_9"/>
      <w:bookmarkStart w:id="2428" w:name="Tc_cIbyNCv1REOfhLsuDlCXbA_7_8"/>
      <w:bookmarkStart w:id="2429" w:name="Tc_EfAr9FTMak6mYHX7X2RNKw_7_5"/>
      <w:bookmarkStart w:id="2430" w:name="Tc_AfmX6WfxHkqM3oHWuq7L-A_7_3"/>
      <w:bookmarkStart w:id="2431" w:name="Tc_PHAYKVVdfkaZqQhUE81lyg_7_2"/>
      <w:bookmarkStart w:id="2432" w:name="Tc_92ttNEY2B0OE3z4TiQCuug_7_0"/>
      <w:bookmarkStart w:id="2433" w:name="Tc_krBX93edOkeGgJ1BcavFjg_6_0"/>
      <w:bookmarkStart w:id="2434" w:name="Tc_2JmCn_M5XkS2Wyh-sAi0zw_5_11"/>
      <w:bookmarkStart w:id="2435" w:name="Tc_0SC2pg7qRUKvxH7ws68MRQ_5_8"/>
      <w:bookmarkStart w:id="2436" w:name="Tc_sUsLqMyoeEaMvQHzcXQ7cQ_5_5"/>
      <w:bookmarkStart w:id="2437" w:name="Tc_dovbS0BGaUWfxneazjX6BA_5_2"/>
      <w:bookmarkStart w:id="2438" w:name="Tc_oJ1rAQ64_EK2HoOQz1-Kww_4_8"/>
      <w:bookmarkStart w:id="2439" w:name="Tc_fiJ_hPzi10-uy_1248XXzQ_4_2"/>
      <w:bookmarkStart w:id="2440" w:name="Tc_WCSFs21C3kissannjuLg8A_3_14"/>
      <w:bookmarkStart w:id="2441" w:name="Tc_eYhB4Kp13E20D7rivFWFXg_3_2"/>
      <w:bookmarkStart w:id="2442" w:name="Tc_iBVShMyTpkC3ZuThWKq3Bg_2_14"/>
      <w:bookmarkStart w:id="2443" w:name="Tc_yWLd_VgO2Eyft3PhNmUYIw_2_2"/>
      <w:bookmarkStart w:id="2444" w:name="Tc_s0BK3PkrVkCly_rCZgBqXw_12_11"/>
      <w:bookmarkStart w:id="2445" w:name="Tc_elEmuKHGi0uMBYgcZhkpIA_12_8"/>
      <w:bookmarkStart w:id="2446" w:name="Tc_Ib6kaf5qMUKXVUUBUizPMg_12_5"/>
      <w:bookmarkStart w:id="2447" w:name="Tc_TJi9pKhUkkKcI4SOS8ITmA_12_2"/>
      <w:bookmarkStart w:id="2448" w:name="Tc_mEzPtdg7akiz9ZiI_-JRpw_12_0"/>
      <w:bookmarkStart w:id="2449" w:name="Tc_zTWuwarfX0Gu0g7umAQbYQ_11_0"/>
      <w:bookmarkStart w:id="2450" w:name="Tc_pg1KDcE34US3mqum5V6cjQ_10_9"/>
      <w:bookmarkStart w:id="2451" w:name="Tc_uamYVtkTV0iHMEOOofWudw_10_6"/>
      <w:bookmarkStart w:id="2452" w:name="Tc_lHiyYuZdi0m55SIR3EumOA_10_0"/>
      <w:bookmarkStart w:id="2453" w:name="Tc_PjbxUGz2GECNL_IVBd0nBg_9_0"/>
      <w:bookmarkStart w:id="2454" w:name="Tc_qJJ59HyCLkOVNe_wP_5HLg_8_11"/>
      <w:bookmarkStart w:id="2455" w:name="Tc_i-HfGeGfmkm3ziZYFCbXAA_8_8"/>
      <w:bookmarkStart w:id="2456" w:name="Tc_ELDQojS2U0eh42OSQbn62Q_8_5"/>
      <w:bookmarkStart w:id="2457" w:name="Tc_M68-yUVmh0O2X8di68ixuQ_8_2"/>
      <w:bookmarkStart w:id="2458" w:name="Tc_iUdFGQ5QkkuojqnmmZvugA_8_0"/>
      <w:bookmarkStart w:id="2459" w:name="Tc_dNwIMg_giUys2Xqp3Lxdcg_7_2"/>
      <w:bookmarkStart w:id="2460" w:name="Tc_5HlFWygOxE6Slzd6gwA0Dg_6_11"/>
      <w:bookmarkStart w:id="2461" w:name="Tc_4Ek5zZ6gqE-HPhuPnIM-FA_6_8"/>
      <w:bookmarkStart w:id="2462" w:name="Tc_rlvToRGflEGSfGPMIIhtcw_6_5"/>
      <w:bookmarkStart w:id="2463" w:name="Tc_ibQ2suzEOEiCcYCyXChJTg_6_2"/>
      <w:bookmarkStart w:id="2464" w:name="Tc_bhgGKxTpNUC6K31zZUYkyg_5_8"/>
      <w:bookmarkStart w:id="2465" w:name="Tc_Owra0JtQ80ep4F6PLDfu_Q_5_5"/>
      <w:bookmarkStart w:id="2466" w:name="Tc_0HJOOCi5Bk-Io7IsZg4dcQ_5_2"/>
      <w:bookmarkStart w:id="2467" w:name="Tc_PeDQUUHf_US_Ma2ghlZSTw_4_8"/>
      <w:bookmarkStart w:id="2468" w:name="Tc_J-bIT-z58kiD5A3j9pgglA_4_2"/>
      <w:bookmarkStart w:id="2469" w:name="Tc_YeKAm3RPz0S-OIQyc5B76w_3_2"/>
      <w:bookmarkStart w:id="2470" w:name="Tc_HAqo7LdhykSU12x9vbs4Cw_2_2"/>
      <w:bookmarkStart w:id="2471" w:name="Tc_VZ5Gn7Te0UyGP6QUmhNTTA_1_2"/>
      <w:bookmarkStart w:id="2472" w:name="_616e02bb_9333_4464_9cb3_2797ceca1838"/>
      <w:bookmarkStart w:id="2473" w:name="Tc_pHyEj8SPokKvN1VXHbIJWw_12_11"/>
      <w:bookmarkStart w:id="2474" w:name="Tc_0y-4zQC5KEicjPSvr7lRAg_12_8"/>
      <w:bookmarkStart w:id="2475" w:name="Tc_37ljLVrzPE-DXhnXIGvUAw_12_5"/>
      <w:bookmarkStart w:id="2476" w:name="Tc_QhCCrl1OrE-iR6W1Zix82w_12_2"/>
      <w:bookmarkStart w:id="2477" w:name="Tc_RS9YskqB1EW1HXfx4seOkA_12_0"/>
      <w:bookmarkStart w:id="2478" w:name="Tc_5ikT1A02YEevpw7peYGR2g_11_0"/>
      <w:bookmarkStart w:id="2479" w:name="Tc_RNRucu9tfk6uOVJZrNyIsw_10_9"/>
      <w:bookmarkStart w:id="2480" w:name="Tc_knOLVPG_Dk6Hw5LqQb-SbA_10_6"/>
      <w:bookmarkStart w:id="2481" w:name="Tc_votE-htFeE-2AcCkKPaRCA_10_0"/>
      <w:bookmarkStart w:id="2482" w:name="Tc_nmPeQlad9UWRWaUU0Zo3bw_9_0"/>
      <w:bookmarkStart w:id="2483" w:name="Tc_2pHvJDt-e0KgGBOoTnMumg_8_11"/>
      <w:bookmarkStart w:id="2484" w:name="Tc_KZz0TioavEqZ4wbP_FV_gg_8_8"/>
      <w:bookmarkStart w:id="2485" w:name="Tc_30IP7Nrh0ESL3hEW4-T1sA_8_5"/>
      <w:bookmarkStart w:id="2486" w:name="Tc_3RWsI1mhtEqW0C75yVinfw_8_2"/>
      <w:bookmarkStart w:id="2487" w:name="Tc_bCZ7Zt8DxkWcEXeT0WSdmg_8_0"/>
      <w:bookmarkStart w:id="2488" w:name="Tc_E9ktMF5dXUKq70tRuqAaVw_7_2"/>
      <w:bookmarkStart w:id="2489" w:name="Tc_lmB-_0ACd0-vWPwhkP_Cpw_6_11"/>
      <w:bookmarkStart w:id="2490" w:name="Tc_Z1Jnw4i0dUKF9xPTerLMcQ_6_8"/>
      <w:bookmarkStart w:id="2491" w:name="Tc_WnxjbuHqPkuQ217EJcglFQ_6_5"/>
      <w:bookmarkStart w:id="2492" w:name="Tc_UlwXmlg-PUi3978bWh_aog_6_2"/>
      <w:bookmarkStart w:id="2493" w:name="Tc_a79BQyOR-k-Zhee_WJE8nA_5_8"/>
      <w:bookmarkStart w:id="2494" w:name="Tc_5qZhAknbQEGokbuyW0RA1Q_5_5"/>
      <w:bookmarkStart w:id="2495" w:name="Tc_l17q0bRwUkqqs6jh5G_PlA_5_2"/>
      <w:bookmarkStart w:id="2496" w:name="Tc_EaDq78b2YUGxyCK_mU4dJg_4_8"/>
      <w:bookmarkStart w:id="2497" w:name="Tc_QMmmo7fRR0ORo3FfltljeQ_4_2"/>
      <w:bookmarkStart w:id="2498" w:name="Tc_hOZQqZPg90KesusTH0BXMg_3_2"/>
      <w:bookmarkStart w:id="2499" w:name="Tc_ibSyGFoskEyyIs838Gx9-w_2_2"/>
      <w:bookmarkStart w:id="2500" w:name="Tc_a00CggzOSk6UnVcpf1HyKw_1_2"/>
      <w:bookmarkStart w:id="2501" w:name="_491258a5_3b64_4c94_bd5b_f72733c73e92"/>
      <w:bookmarkStart w:id="2502" w:name="Tc_DXCakw3u1EWUtwSfp2ooLA_12_11"/>
      <w:bookmarkStart w:id="2503" w:name="Tc_PLeNYFkVyEi0qbckxpO4vQ_12_8"/>
      <w:bookmarkStart w:id="2504" w:name="Tc_4PBmEcG3BkSVeyzqrgNL7g_12_5"/>
      <w:bookmarkStart w:id="2505" w:name="Tc_oYOWO4ldn0CPka8iuhL3vw_12_2"/>
      <w:bookmarkStart w:id="2506" w:name="Tc_4uk_4y-yb0-aEy30DbxuKg_12_0"/>
      <w:bookmarkStart w:id="2507" w:name="Tc_DIjyPeHHvE6B6wflFIrt5Q_11_0"/>
      <w:bookmarkStart w:id="2508" w:name="Tc_m4fXEK6WBEe8TmyBDI7tVQ_10_12"/>
      <w:bookmarkStart w:id="2509" w:name="Tc_u3ej2vQTB0yQlmYDTnF4bg_10_9"/>
      <w:bookmarkStart w:id="2510" w:name="Tc_hEEHwaDGake-RmuIcV4eTQ_10_6"/>
      <w:bookmarkStart w:id="2511" w:name="Tc_Q3-j81vZxEmbkMyzRBLE5Q_10_3"/>
      <w:bookmarkStart w:id="2512" w:name="Tc_XbW1P_4GC0aRCNj7vpWnhg_10_0"/>
      <w:bookmarkStart w:id="2513" w:name="Tc_WvXyRUlJYkyVb1sTd7ThjA_9_0"/>
      <w:bookmarkStart w:id="2514" w:name="Tc_07igipus9E6s85-o9vMB3A_8_11"/>
      <w:bookmarkStart w:id="2515" w:name="Tc_um1v7t3_nUKgpHnI9lihRw_8_8"/>
      <w:bookmarkStart w:id="2516" w:name="Tc_82Q4tORSMU6S5y02Yga5gw_8_5"/>
      <w:bookmarkStart w:id="2517" w:name="Tc_ShRV4WnHIU-lmg31tZekjQ_8_2"/>
      <w:bookmarkStart w:id="2518" w:name="Tc_QyVrhgJ2Ekq1zeZK4q3hvA_8_0"/>
      <w:bookmarkStart w:id="2519" w:name="Tc_Qj6ZtYete0SnuueTlz-NkQ_7_2"/>
      <w:bookmarkStart w:id="2520" w:name="Tc_Rvny4z_i-ka2OYHkk9DZJA_6_11"/>
      <w:bookmarkStart w:id="2521" w:name="Tc_q9shWs8gQ0aDfpquxk16xQ_6_8"/>
      <w:bookmarkStart w:id="2522" w:name="Tc_DXxrpAkIUUid4xQAzJzMwA_6_5"/>
      <w:bookmarkStart w:id="2523" w:name="Tc_6RQIjXDx-0KaiwJo5fFc6Q_6_2"/>
      <w:bookmarkStart w:id="2524" w:name="Tc_fg3phqzHhUm9hmGF1bl7uQ_5_8"/>
      <w:bookmarkStart w:id="2525" w:name="Tc_ICvbhuxGjUO5hTKkQ33qyQ_5_5"/>
      <w:bookmarkStart w:id="2526" w:name="Tc_8c-lLCQkvEuJJejeTUnPYg_5_2"/>
      <w:bookmarkStart w:id="2527" w:name="Tc_n2r1DO92xEmF33WvIb4wJA_4_8"/>
      <w:bookmarkStart w:id="2528" w:name="Tc_GMWiPJA_qkSefZQMTGydlw_4_2"/>
      <w:bookmarkStart w:id="2529" w:name="Tc_vJuwwKUyLESo2ShcfUwUWA_3_2"/>
      <w:bookmarkStart w:id="2530" w:name="Tc_XVw0c_V7t0qFwQeWqg5Vrg_2_2"/>
      <w:bookmarkStart w:id="2531" w:name="Tc_3yObaqnWKkarfL0IDGODvw_1_2"/>
      <w:bookmarkStart w:id="2532" w:name="_9dc313e3_ada1_4ebb_850a_ca0f9a0aa9f4"/>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r>
        <w:rPr/>
        <w:t>​</w:t>
      </w:r>
    </w:p>
    <w:tbl>
      <w:tblPr>
        <w:tblW w:w="10205" w:type="dxa"/>
        <w:jc w:val="left"/>
        <w:tblInd w:w="0" w:type="dxa"/>
        <w:tblLayout w:type="fixed"/>
        <w:tblCellMar>
          <w:top w:w="0" w:type="dxa"/>
          <w:left w:w="0" w:type="dxa"/>
          <w:bottom w:w="0" w:type="dxa"/>
          <w:right w:w="0" w:type="dxa"/>
        </w:tblCellMar>
      </w:tblPr>
      <w:tblGrid>
        <w:gridCol w:w="5278"/>
        <w:gridCol w:w="109"/>
        <w:gridCol w:w="251"/>
        <w:gridCol w:w="887"/>
        <w:gridCol w:w="109"/>
        <w:gridCol w:w="287"/>
        <w:gridCol w:w="924"/>
        <w:gridCol w:w="109"/>
        <w:gridCol w:w="411"/>
        <w:gridCol w:w="730"/>
        <w:gridCol w:w="146"/>
        <w:gridCol w:w="196"/>
        <w:gridCol w:w="768"/>
      </w:tblGrid>
      <w:tr>
        <w:trPr/>
        <w:tc>
          <w:tcPr>
            <w:tcW w:w="5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351530" cy="175260"/>
                      <wp:effectExtent l="0" t="0" r="0" b="0"/>
                      <wp:wrapNone/>
                      <wp:docPr id="581" name="Frame581"/>
                      <a:graphic xmlns:a="http://schemas.openxmlformats.org/drawingml/2006/main">
                        <a:graphicData uri="http://schemas.microsoft.com/office/word/2010/wordprocessingShape">
                          <wps:wsp>
                            <wps:cNvSpPr txBox="1"/>
                            <wps:spPr>
                              <a:xfrm>
                                <a:off x="0" y="0"/>
                                <a:ext cx="3351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9215" cy="175260"/>
                      <wp:effectExtent l="0" t="0" r="0" b="0"/>
                      <wp:wrapNone/>
                      <wp:docPr id="582" name="Frame5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59385" cy="175260"/>
                      <wp:effectExtent l="0" t="0" r="0" b="0"/>
                      <wp:wrapNone/>
                      <wp:docPr id="583" name="Frame58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563245" cy="175260"/>
                      <wp:effectExtent l="0" t="0" r="0" b="0"/>
                      <wp:wrapNone/>
                      <wp:docPr id="584" name="Frame58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9215" cy="175260"/>
                      <wp:effectExtent l="0" t="0" r="0" b="0"/>
                      <wp:wrapNone/>
                      <wp:docPr id="585" name="Frame5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82245" cy="175260"/>
                      <wp:effectExtent l="0" t="0" r="0" b="0"/>
                      <wp:wrapNone/>
                      <wp:docPr id="586" name="Frame58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586740" cy="175260"/>
                      <wp:effectExtent l="0" t="0" r="0" b="0"/>
                      <wp:wrapNone/>
                      <wp:docPr id="587" name="Frame587"/>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9215" cy="175260"/>
                      <wp:effectExtent l="0" t="0" r="0" b="0"/>
                      <wp:wrapNone/>
                      <wp:docPr id="588" name="Frame5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60985" cy="175260"/>
                      <wp:effectExtent l="0" t="0" r="0" b="0"/>
                      <wp:wrapNone/>
                      <wp:docPr id="589" name="Frame589"/>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63550" cy="175260"/>
                      <wp:effectExtent l="0" t="0" r="0" b="0"/>
                      <wp:wrapNone/>
                      <wp:docPr id="590" name="Frame590"/>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92710" cy="175260"/>
                      <wp:effectExtent l="0" t="0" r="0" b="0"/>
                      <wp:wrapNone/>
                      <wp:docPr id="591" name="Frame5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24460" cy="175260"/>
                      <wp:effectExtent l="0" t="0" r="0" b="0"/>
                      <wp:wrapNone/>
                      <wp:docPr id="592" name="Frame5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487680" cy="175260"/>
                      <wp:effectExtent l="0" t="0" r="0" b="0"/>
                      <wp:wrapNone/>
                      <wp:docPr id="593" name="Frame593"/>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7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81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527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92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11" w:type="dxa"/>
            <w:tcBorders/>
            <w:vAlign w:val="center"/>
          </w:tcPr>
          <w:p>
            <w:pPr>
              <w:pStyle w:val="TableContents"/>
              <w:bidi w:val="0"/>
              <w:spacing w:before="0" w:after="1"/>
              <w:ind w:left="0" w:right="0" w:hanging="0"/>
              <w:jc w:val="center"/>
              <w:rPr/>
            </w:pPr>
            <w:r>
              <w:rPr/>
              <w:t>​</w:t>
            </w:r>
          </w:p>
        </w:tc>
        <w:tc>
          <w:tcPr>
            <w:tcW w:w="73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center"/>
              <w:rPr/>
            </w:pPr>
            <w:r>
              <w:rPr/>
              <w:t>​</w:t>
            </w:r>
          </w:p>
        </w:tc>
      </w:tr>
      <w:tr>
        <w:trPr/>
        <w:tc>
          <w:tcPr>
            <w:tcW w:w="527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and</w:t>
            </w:r>
          </w:p>
        </w:tc>
        <w:tc>
          <w:tcPr>
            <w:tcW w:w="109"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92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11" w:type="dxa"/>
            <w:tcBorders/>
            <w:vAlign w:val="center"/>
          </w:tcPr>
          <w:p>
            <w:pPr>
              <w:pStyle w:val="TableContents"/>
              <w:bidi w:val="0"/>
              <w:spacing w:before="0" w:after="1"/>
              <w:ind w:left="0" w:right="0" w:hanging="0"/>
              <w:jc w:val="center"/>
              <w:rPr/>
            </w:pPr>
            <w:r>
              <w:rPr/>
              <w:t>​</w:t>
            </w:r>
          </w:p>
        </w:tc>
        <w:tc>
          <w:tcPr>
            <w:tcW w:w="73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center"/>
              <w:rPr/>
            </w:pPr>
            <w:r>
              <w:rPr/>
              <w:t> </w:t>
            </w:r>
          </w:p>
        </w:tc>
      </w:tr>
      <w:tr>
        <w:trPr/>
        <w:tc>
          <w:tcPr>
            <w:tcW w:w="527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w:t>
            </w:r>
          </w:p>
        </w:tc>
        <w:tc>
          <w:tcPr>
            <w:tcW w:w="109"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92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1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center"/>
              <w:rPr/>
            </w:pPr>
            <w:r>
              <w:rPr/>
              <w:t> </w:t>
            </w:r>
          </w:p>
        </w:tc>
      </w:tr>
      <w:tr>
        <w:trPr/>
        <w:tc>
          <w:tcPr>
            <w:tcW w:w="527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Available-for-</w:t>
            </w:r>
          </w:p>
        </w:tc>
        <w:tc>
          <w:tcPr>
            <w:tcW w:w="109" w:type="dxa"/>
            <w:tcBorders/>
            <w:vAlign w:val="center"/>
          </w:tcPr>
          <w:p>
            <w:pPr>
              <w:pStyle w:val="TableContents"/>
              <w:bidi w:val="0"/>
              <w:spacing w:before="0" w:after="1"/>
              <w:ind w:left="0" w:right="0" w:hanging="0"/>
              <w:jc w:val="center"/>
              <w:rPr/>
            </w:pPr>
            <w:r>
              <w:rPr/>
              <w:t>​</w:t>
            </w:r>
          </w:p>
        </w:tc>
        <w:tc>
          <w:tcPr>
            <w:tcW w:w="12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center"/>
              <w:rPr/>
            </w:pPr>
            <w:r>
              <w:rPr/>
              <w:t> </w:t>
            </w:r>
          </w:p>
        </w:tc>
      </w:tr>
      <w:tr>
        <w:trPr/>
        <w:tc>
          <w:tcPr>
            <w:tcW w:w="527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 Securities</w:t>
            </w:r>
          </w:p>
        </w:tc>
        <w:tc>
          <w:tcPr>
            <w:tcW w:w="109" w:type="dxa"/>
            <w:tcBorders/>
            <w:vAlign w:val="center"/>
          </w:tcPr>
          <w:p>
            <w:pPr>
              <w:pStyle w:val="TableContents"/>
              <w:bidi w:val="0"/>
              <w:spacing w:before="0" w:after="1"/>
              <w:ind w:left="0" w:right="0" w:hanging="0"/>
              <w:jc w:val="center"/>
              <w:rPr/>
            </w:pPr>
            <w:r>
              <w:rPr/>
              <w:t>​</w:t>
            </w:r>
          </w:p>
        </w:tc>
        <w:tc>
          <w:tcPr>
            <w:tcW w:w="12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Pension Items</w:t>
            </w:r>
          </w:p>
        </w:tc>
        <w:tc>
          <w:tcPr>
            <w:tcW w:w="109"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Liability</w:t>
            </w:r>
          </w:p>
        </w:tc>
        <w:tc>
          <w:tcPr>
            <w:tcW w:w="146" w:type="dxa"/>
            <w:tcBorders/>
            <w:vAlign w:val="center"/>
          </w:tcPr>
          <w:p>
            <w:pPr>
              <w:pStyle w:val="TableContents"/>
              <w:bidi w:val="0"/>
              <w:spacing w:before="0" w:after="1"/>
              <w:ind w:left="0" w:right="0" w:hanging="0"/>
              <w:jc w:val="center"/>
              <w:rPr/>
            </w:pPr>
            <w:r>
              <w:rPr/>
              <w:t>​</w:t>
            </w:r>
          </w:p>
        </w:tc>
        <w:tc>
          <w:tcPr>
            <w:tcW w:w="9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27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818"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27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(41,626)</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(6,268)</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(47,807)</w:t>
            </w:r>
          </w:p>
        </w:tc>
      </w:tr>
      <w:tr>
        <w:trPr/>
        <w:tc>
          <w:tcPr>
            <w:tcW w:w="527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income/(loss) before reclassification</w:t>
            </w:r>
          </w:p>
        </w:tc>
        <w:tc>
          <w:tcPr>
            <w:tcW w:w="10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w:t>
            </w:r>
          </w:p>
        </w:tc>
        <w:tc>
          <w:tcPr>
            <w:tcW w:w="109"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109"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(1,439)</w:t>
            </w:r>
          </w:p>
        </w:tc>
      </w:tr>
      <w:tr>
        <w:trPr/>
        <w:tc>
          <w:tcPr>
            <w:tcW w:w="527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amounts reclassified from accumulated other comprehensive income</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27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current period other comprehensive income/(loss)</w:t>
            </w:r>
          </w:p>
        </w:tc>
        <w:tc>
          <w:tcPr>
            <w:tcW w:w="109"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w:t>
            </w:r>
          </w:p>
        </w:tc>
        <w:tc>
          <w:tcPr>
            <w:tcW w:w="109"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109" w:type="dxa"/>
            <w:tcBorders/>
            <w:vAlign w:val="center"/>
          </w:tcPr>
          <w:p>
            <w:pPr>
              <w:pStyle w:val="TableContents"/>
              <w:bidi w:val="0"/>
              <w:spacing w:before="0" w:after="1"/>
              <w:ind w:left="0" w:right="0" w:hanging="0"/>
              <w:jc w:val="left"/>
              <w:rPr/>
            </w:pPr>
            <w:r>
              <w:rPr/>
              <w:t>​</w:t>
            </w:r>
          </w:p>
        </w:tc>
        <w:tc>
          <w:tcPr>
            <w:tcW w:w="4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(1,439)</w:t>
            </w:r>
          </w:p>
        </w:tc>
      </w:tr>
      <w:tr>
        <w:trPr/>
        <w:tc>
          <w:tcPr>
            <w:tcW w:w="527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(43,323)</w:t>
            </w:r>
          </w:p>
        </w:tc>
        <w:tc>
          <w:tcPr>
            <w:tcW w:w="109"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(6,004)</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c>
          <w:tcPr>
            <w:tcW w:w="14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(49,246)</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5075"/>
        <w:gridCol w:w="346"/>
        <w:gridCol w:w="252"/>
        <w:gridCol w:w="889"/>
        <w:gridCol w:w="109"/>
        <w:gridCol w:w="310"/>
        <w:gridCol w:w="906"/>
        <w:gridCol w:w="109"/>
        <w:gridCol w:w="411"/>
        <w:gridCol w:w="730"/>
        <w:gridCol w:w="109"/>
        <w:gridCol w:w="196"/>
        <w:gridCol w:w="763"/>
      </w:tblGrid>
      <w:tr>
        <w:trPr/>
        <w:tc>
          <w:tcPr>
            <w:tcW w:w="5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3222625" cy="175260"/>
                      <wp:effectExtent l="0" t="0" r="0" b="0"/>
                      <wp:wrapNone/>
                      <wp:docPr id="594" name="Frame594"/>
                      <a:graphic xmlns:a="http://schemas.openxmlformats.org/drawingml/2006/main">
                        <a:graphicData uri="http://schemas.microsoft.com/office/word/2010/wordprocessingShape">
                          <wps:wsp>
                            <wps:cNvSpPr txBox="1"/>
                            <wps:spPr>
                              <a:xfrm>
                                <a:off x="0" y="0"/>
                                <a:ext cx="322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19710" cy="175260"/>
                      <wp:effectExtent l="0" t="0" r="0" b="0"/>
                      <wp:wrapNone/>
                      <wp:docPr id="595" name="Frame5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60020" cy="175260"/>
                      <wp:effectExtent l="0" t="0" r="0" b="0"/>
                      <wp:wrapNone/>
                      <wp:docPr id="596" name="Frame59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564515" cy="175260"/>
                      <wp:effectExtent l="0" t="0" r="0" b="0"/>
                      <wp:wrapNone/>
                      <wp:docPr id="597" name="Frame597"/>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9215" cy="175260"/>
                      <wp:effectExtent l="0" t="0" r="0" b="0"/>
                      <wp:wrapNone/>
                      <wp:docPr id="598" name="Frame5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96850" cy="175260"/>
                      <wp:effectExtent l="0" t="0" r="0" b="0"/>
                      <wp:wrapNone/>
                      <wp:docPr id="599" name="Frame59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575310" cy="175260"/>
                      <wp:effectExtent l="0" t="0" r="0" b="0"/>
                      <wp:wrapNone/>
                      <wp:docPr id="600" name="Frame600"/>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9215" cy="175260"/>
                      <wp:effectExtent l="0" t="0" r="0" b="0"/>
                      <wp:wrapNone/>
                      <wp:docPr id="601" name="Frame6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260985" cy="175260"/>
                      <wp:effectExtent l="0" t="0" r="0" b="0"/>
                      <wp:wrapNone/>
                      <wp:docPr id="602" name="Frame602"/>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63550" cy="175260"/>
                      <wp:effectExtent l="0" t="0" r="0" b="0"/>
                      <wp:wrapNone/>
                      <wp:docPr id="603" name="Frame603"/>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9215" cy="175260"/>
                      <wp:effectExtent l="0" t="0" r="0" b="0"/>
                      <wp:wrapNone/>
                      <wp:docPr id="604" name="Frame6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24460" cy="175260"/>
                      <wp:effectExtent l="0" t="0" r="0" b="0"/>
                      <wp:wrapNone/>
                      <wp:docPr id="605" name="Frame6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84505" cy="175260"/>
                      <wp:effectExtent l="0" t="0" r="0" b="0"/>
                      <wp:wrapNone/>
                      <wp:docPr id="606" name="Frame606"/>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78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left"/>
              <w:rPr/>
            </w:pPr>
            <w:r>
              <w:rPr/>
              <w:t>​</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and</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left"/>
              <w:rPr/>
            </w:pPr>
            <w:r>
              <w:rPr/>
              <w:t> </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left"/>
              <w:rPr/>
            </w:pPr>
            <w:r>
              <w:rPr/>
              <w:t> </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Available-for-</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109"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left"/>
              <w:rPr/>
            </w:pPr>
            <w:r>
              <w:rPr/>
              <w:t> </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 Securities</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Pension Items</w:t>
            </w:r>
          </w:p>
        </w:tc>
        <w:tc>
          <w:tcPr>
            <w:tcW w:w="109"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Liability</w:t>
            </w:r>
          </w:p>
        </w:tc>
        <w:tc>
          <w:tcPr>
            <w:tcW w:w="109" w:type="dxa"/>
            <w:tcBorders/>
            <w:vAlign w:val="center"/>
          </w:tcPr>
          <w:p>
            <w:pPr>
              <w:pStyle w:val="TableContents"/>
              <w:bidi w:val="0"/>
              <w:spacing w:before="0" w:after="1"/>
              <w:ind w:left="0" w:right="0" w:hanging="0"/>
              <w:jc w:val="left"/>
              <w:rPr/>
            </w:pPr>
            <w:r>
              <w:rPr/>
              <w:t>​</w:t>
            </w:r>
          </w:p>
        </w:tc>
        <w:tc>
          <w:tcPr>
            <w:tcW w:w="9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84"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(52,228)</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(7,887)</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(60,019)</w:t>
            </w:r>
          </w:p>
        </w:tc>
      </w:tr>
      <w:tr>
        <w:trPr/>
        <w:tc>
          <w:tcPr>
            <w:tcW w:w="50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income/(loss) before reclassification</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(2,075)</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w:t>
            </w:r>
          </w:p>
        </w:tc>
        <w:tc>
          <w:tcPr>
            <w:tcW w:w="109"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(1,991)</w:t>
            </w:r>
          </w:p>
        </w:tc>
      </w:tr>
      <w:tr>
        <w:trP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amounts reclassified from accumulated 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w:t>
            </w:r>
          </w:p>
        </w:tc>
      </w:tr>
      <w:tr>
        <w:trPr/>
        <w:tc>
          <w:tcPr>
            <w:tcW w:w="50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current period other comprehensive income/(loss)</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(1,501)</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w:t>
            </w:r>
          </w:p>
        </w:tc>
        <w:tc>
          <w:tcPr>
            <w:tcW w:w="109" w:type="dxa"/>
            <w:tcBorders/>
            <w:vAlign w:val="center"/>
          </w:tcPr>
          <w:p>
            <w:pPr>
              <w:pStyle w:val="TableContents"/>
              <w:bidi w:val="0"/>
              <w:spacing w:before="0" w:after="1"/>
              <w:ind w:left="0" w:right="0" w:hanging="0"/>
              <w:jc w:val="left"/>
              <w:rPr/>
            </w:pPr>
            <w:r>
              <w:rPr/>
              <w:t>​</w:t>
            </w:r>
          </w:p>
        </w:tc>
        <w:tc>
          <w:tcPr>
            <w:tcW w:w="4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(1,417)</w:t>
            </w:r>
          </w:p>
        </w:tc>
      </w:tr>
      <w:tr>
        <w:trP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Ending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(53,729)</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(7,800)</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(61,436)</w:t>
            </w:r>
          </w:p>
        </w:tc>
      </w:tr>
    </w:tbl>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5075"/>
        <w:gridCol w:w="346"/>
        <w:gridCol w:w="252"/>
        <w:gridCol w:w="889"/>
        <w:gridCol w:w="109"/>
        <w:gridCol w:w="310"/>
        <w:gridCol w:w="906"/>
        <w:gridCol w:w="109"/>
        <w:gridCol w:w="411"/>
        <w:gridCol w:w="730"/>
        <w:gridCol w:w="109"/>
        <w:gridCol w:w="196"/>
        <w:gridCol w:w="763"/>
      </w:tblGrid>
      <w:tr>
        <w:trPr/>
        <w:tc>
          <w:tcPr>
            <w:tcW w:w="5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3222625" cy="175260"/>
                      <wp:effectExtent l="0" t="0" r="0" b="0"/>
                      <wp:wrapNone/>
                      <wp:docPr id="607" name="Frame607"/>
                      <a:graphic xmlns:a="http://schemas.openxmlformats.org/drawingml/2006/main">
                        <a:graphicData uri="http://schemas.microsoft.com/office/word/2010/wordprocessingShape">
                          <wps:wsp>
                            <wps:cNvSpPr txBox="1"/>
                            <wps:spPr>
                              <a:xfrm>
                                <a:off x="0" y="0"/>
                                <a:ext cx="322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19710" cy="175260"/>
                      <wp:effectExtent l="0" t="0" r="0" b="0"/>
                      <wp:wrapNone/>
                      <wp:docPr id="608" name="Frame6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60020" cy="175260"/>
                      <wp:effectExtent l="0" t="0" r="0" b="0"/>
                      <wp:wrapNone/>
                      <wp:docPr id="609" name="Frame60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564515" cy="175260"/>
                      <wp:effectExtent l="0" t="0" r="0" b="0"/>
                      <wp:wrapNone/>
                      <wp:docPr id="610" name="Frame610"/>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9215" cy="175260"/>
                      <wp:effectExtent l="0" t="0" r="0" b="0"/>
                      <wp:wrapNone/>
                      <wp:docPr id="611" name="Frame6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96850" cy="175260"/>
                      <wp:effectExtent l="0" t="0" r="0" b="0"/>
                      <wp:wrapNone/>
                      <wp:docPr id="612" name="Frame61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575310" cy="175260"/>
                      <wp:effectExtent l="0" t="0" r="0" b="0"/>
                      <wp:wrapNone/>
                      <wp:docPr id="613" name="Frame61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14" name="Frame6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60985" cy="175260"/>
                      <wp:effectExtent l="0" t="0" r="0" b="0"/>
                      <wp:wrapNone/>
                      <wp:docPr id="615" name="Frame615"/>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463550" cy="175260"/>
                      <wp:effectExtent l="0" t="0" r="0" b="0"/>
                      <wp:wrapNone/>
                      <wp:docPr id="616" name="Frame616"/>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175260"/>
                      <wp:effectExtent l="0" t="0" r="0" b="0"/>
                      <wp:wrapNone/>
                      <wp:docPr id="617" name="Frame6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24460" cy="175260"/>
                      <wp:effectExtent l="0" t="0" r="0" b="0"/>
                      <wp:wrapNone/>
                      <wp:docPr id="618" name="Frame6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84505" cy="175260"/>
                      <wp:effectExtent l="0" t="0" r="0" b="0"/>
                      <wp:wrapNone/>
                      <wp:docPr id="619" name="Frame619"/>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78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left"/>
              <w:rPr/>
            </w:pPr>
            <w:r>
              <w:rPr/>
              <w:t>​</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 and</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left"/>
              <w:rPr/>
            </w:pPr>
            <w:r>
              <w:rPr/>
              <w:t> </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on</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left"/>
              <w:rPr/>
            </w:pPr>
            <w:r>
              <w:rPr/>
              <w:t> </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Available-for-</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Defined Benefit</w:t>
            </w:r>
          </w:p>
        </w:tc>
        <w:tc>
          <w:tcPr>
            <w:tcW w:w="109"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left"/>
              <w:rPr/>
            </w:pPr>
            <w:r>
              <w:rPr/>
              <w:t> </w:t>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 Securities</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Pension Items</w:t>
            </w:r>
          </w:p>
        </w:tc>
        <w:tc>
          <w:tcPr>
            <w:tcW w:w="109" w:type="dxa"/>
            <w:tcBorders/>
            <w:vAlign w:val="center"/>
          </w:tcPr>
          <w:p>
            <w:pPr>
              <w:pStyle w:val="TableContents"/>
              <w:bidi w:val="0"/>
              <w:spacing w:before="0" w:after="1"/>
              <w:ind w:left="0" w:right="0" w:hanging="0"/>
              <w:jc w:val="left"/>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Liability</w:t>
            </w:r>
          </w:p>
        </w:tc>
        <w:tc>
          <w:tcPr>
            <w:tcW w:w="109" w:type="dxa"/>
            <w:tcBorders/>
            <w:vAlign w:val="center"/>
          </w:tcPr>
          <w:p>
            <w:pPr>
              <w:pStyle w:val="TableContents"/>
              <w:bidi w:val="0"/>
              <w:spacing w:before="0" w:after="1"/>
              <w:ind w:left="0" w:right="0" w:hanging="0"/>
              <w:jc w:val="left"/>
              <w:rPr/>
            </w:pPr>
            <w:r>
              <w:rPr/>
              <w:t>​</w:t>
            </w:r>
          </w:p>
        </w:tc>
        <w:tc>
          <w:tcPr>
            <w:tcW w:w="9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784"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Beginning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(59,876)</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(7,974)</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(67,751)</w:t>
            </w:r>
          </w:p>
        </w:tc>
      </w:tr>
      <w:tr>
        <w:trPr/>
        <w:tc>
          <w:tcPr>
            <w:tcW w:w="50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income/(loss) before reclassification</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88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5,573</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w:t>
            </w:r>
          </w:p>
        </w:tc>
        <w:tc>
          <w:tcPr>
            <w:tcW w:w="109"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5,741</w:t>
            </w:r>
          </w:p>
        </w:tc>
      </w:tr>
      <w:tr>
        <w:trP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amounts reclassified from accumulated 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w:t>
            </w:r>
          </w:p>
        </w:tc>
      </w:tr>
      <w:tr>
        <w:trPr/>
        <w:tc>
          <w:tcPr>
            <w:tcW w:w="50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current period other comprehensive income/(loss)</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6,147</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w:t>
            </w:r>
          </w:p>
        </w:tc>
        <w:tc>
          <w:tcPr>
            <w:tcW w:w="109" w:type="dxa"/>
            <w:tcBorders/>
            <w:vAlign w:val="center"/>
          </w:tcPr>
          <w:p>
            <w:pPr>
              <w:pStyle w:val="TableContents"/>
              <w:bidi w:val="0"/>
              <w:spacing w:before="0" w:after="1"/>
              <w:ind w:left="0" w:right="0" w:hanging="0"/>
              <w:jc w:val="left"/>
              <w:rPr/>
            </w:pPr>
            <w:r>
              <w:rPr/>
              <w:t>​</w:t>
            </w:r>
          </w:p>
        </w:tc>
        <w:tc>
          <w:tcPr>
            <w:tcW w:w="4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6,315</w:t>
            </w:r>
          </w:p>
        </w:tc>
      </w:tr>
      <w:tr>
        <w:trPr/>
        <w:tc>
          <w:tcPr>
            <w:tcW w:w="50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Ending balance</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(53,729)</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(7,800)</w:t>
            </w:r>
          </w:p>
        </w:tc>
        <w:tc>
          <w:tcPr>
            <w:tcW w:w="109" w:type="dxa"/>
            <w:tcBorders/>
            <w:shd w:fill="CCEEFF" w:val="clear"/>
            <w:vAlign w:val="center"/>
          </w:tcPr>
          <w:p>
            <w:pPr>
              <w:pStyle w:val="TableContents"/>
              <w:bidi w:val="0"/>
              <w:spacing w:before="0" w:after="1"/>
              <w:ind w:left="0" w:right="0" w:hanging="0"/>
              <w:jc w:val="left"/>
              <w:rPr/>
            </w:pPr>
            <w:r>
              <w:rPr/>
              <w:t>​</w:t>
            </w:r>
          </w:p>
        </w:tc>
        <w:tc>
          <w:tcPr>
            <w:tcW w:w="4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(61,436)</w:t>
            </w:r>
          </w:p>
        </w:tc>
      </w:tr>
    </w:tbl>
    <w:p>
      <w:pPr>
        <w:pStyle w:val="TextBody"/>
        <w:bidi w:val="0"/>
        <w:spacing w:before="0" w:after="24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reflects significant amounts reclassified out of each component of accumulated other comprehensive income (loss) for the three and six months ended June 30, 2026 and 2025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65"/>
        <w:gridCol w:w="346"/>
        <w:gridCol w:w="292"/>
        <w:gridCol w:w="515"/>
        <w:gridCol w:w="161"/>
        <w:gridCol w:w="292"/>
        <w:gridCol w:w="657"/>
        <w:gridCol w:w="386"/>
        <w:gridCol w:w="275"/>
        <w:gridCol w:w="485"/>
        <w:gridCol w:w="152"/>
        <w:gridCol w:w="275"/>
        <w:gridCol w:w="623"/>
        <w:gridCol w:w="346"/>
        <w:gridCol w:w="2435"/>
      </w:tblGrid>
      <w:tr>
        <w:trPr/>
        <w:tc>
          <w:tcPr>
            <w:tcW w:w="29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219710" cy="175260"/>
                      <wp:effectExtent l="0" t="0" r="0" b="0"/>
                      <wp:wrapNone/>
                      <wp:docPr id="620" name="Frame6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85420" cy="175260"/>
                      <wp:effectExtent l="0" t="0" r="0" b="0"/>
                      <wp:wrapNone/>
                      <wp:docPr id="621" name="Frame62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327025" cy="175260"/>
                      <wp:effectExtent l="0" t="0" r="0" b="0"/>
                      <wp:wrapNone/>
                      <wp:docPr id="622" name="Frame622"/>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102235" cy="175260"/>
                      <wp:effectExtent l="0" t="0" r="0" b="0"/>
                      <wp:wrapNone/>
                      <wp:docPr id="623" name="Frame623"/>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85420" cy="175260"/>
                      <wp:effectExtent l="0" t="0" r="0" b="0"/>
                      <wp:wrapNone/>
                      <wp:docPr id="624" name="Frame624"/>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417195" cy="175260"/>
                      <wp:effectExtent l="0" t="0" r="0" b="0"/>
                      <wp:wrapNone/>
                      <wp:docPr id="625" name="Frame625"/>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45110" cy="175260"/>
                      <wp:effectExtent l="0" t="0" r="0" b="0"/>
                      <wp:wrapNone/>
                      <wp:docPr id="626" name="Frame62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74625" cy="175260"/>
                      <wp:effectExtent l="0" t="0" r="0" b="0"/>
                      <wp:wrapNone/>
                      <wp:docPr id="627" name="Frame62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307975" cy="175260"/>
                      <wp:effectExtent l="0" t="0" r="0" b="0"/>
                      <wp:wrapNone/>
                      <wp:docPr id="628" name="Frame628"/>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96520" cy="175260"/>
                      <wp:effectExtent l="0" t="0" r="0" b="0"/>
                      <wp:wrapNone/>
                      <wp:docPr id="629" name="Frame629"/>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74625" cy="175260"/>
                      <wp:effectExtent l="0" t="0" r="0" b="0"/>
                      <wp:wrapNone/>
                      <wp:docPr id="630" name="Frame630"/>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395605" cy="175260"/>
                      <wp:effectExtent l="0" t="0" r="0" b="0"/>
                      <wp:wrapNone/>
                      <wp:docPr id="631" name="Frame631"/>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19710" cy="175260"/>
                      <wp:effectExtent l="0" t="0" r="0" b="0"/>
                      <wp:wrapNone/>
                      <wp:docPr id="632" name="Frame6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1546225" cy="175260"/>
                      <wp:effectExtent l="0" t="0" r="0" b="0"/>
                      <wp:wrapNone/>
                      <wp:docPr id="633" name="Frame633"/>
                      <a:graphic xmlns:a="http://schemas.openxmlformats.org/drawingml/2006/main">
                        <a:graphicData uri="http://schemas.microsoft.com/office/word/2010/wordprocessingShape">
                          <wps:wsp>
                            <wps:cNvSpPr txBox="1"/>
                            <wps:spPr>
                              <a:xfrm>
                                <a:off x="0" y="0"/>
                                <a:ext cx="1546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1625"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5" w:type="dxa"/>
            <w:tcBorders/>
            <w:vAlign w:val="center"/>
          </w:tcPr>
          <w:p>
            <w:pPr>
              <w:pStyle w:val="TableContents"/>
              <w:bidi w:val="0"/>
              <w:spacing w:before="0" w:after="1"/>
              <w:ind w:left="0" w:right="0" w:hanging="0"/>
              <w:jc w:val="center"/>
              <w:rPr/>
            </w:pPr>
            <w:r>
              <w:rPr/>
              <w:t>​</w:t>
            </w:r>
          </w:p>
        </w:tc>
      </w:tr>
      <w:tr>
        <w:trPr/>
        <w:tc>
          <w:tcPr>
            <w:tcW w:w="29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13"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Reclassified from</w:t>
            </w:r>
          </w:p>
        </w:tc>
        <w:tc>
          <w:tcPr>
            <w:tcW w:w="346" w:type="dxa"/>
            <w:tcBorders/>
            <w:vAlign w:val="center"/>
          </w:tcPr>
          <w:p>
            <w:pPr>
              <w:pStyle w:val="TableContents"/>
              <w:bidi w:val="0"/>
              <w:spacing w:before="0" w:after="1"/>
              <w:ind w:left="0" w:right="0" w:hanging="0"/>
              <w:jc w:val="center"/>
              <w:rPr/>
            </w:pPr>
            <w:r>
              <w:rPr/>
              <w:t>​</w:t>
            </w:r>
          </w:p>
        </w:tc>
        <w:tc>
          <w:tcPr>
            <w:tcW w:w="243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Affected Line Item in the Statement</w:t>
            </w:r>
          </w:p>
        </w:tc>
      </w:tr>
      <w:tr>
        <w:trPr/>
        <w:tc>
          <w:tcPr>
            <w:tcW w:w="2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411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w:t>
            </w:r>
          </w:p>
        </w:tc>
        <w:tc>
          <w:tcPr>
            <w:tcW w:w="346" w:type="dxa"/>
            <w:tcBorders/>
            <w:vAlign w:val="center"/>
          </w:tcPr>
          <w:p>
            <w:pPr>
              <w:pStyle w:val="TableContents"/>
              <w:bidi w:val="0"/>
              <w:spacing w:before="0" w:after="1"/>
              <w:ind w:left="0" w:right="0" w:hanging="0"/>
              <w:jc w:val="center"/>
              <w:rPr/>
            </w:pPr>
            <w:r>
              <w:rPr/>
              <w:t>  ​ ​ ​</w:t>
            </w:r>
          </w:p>
        </w:tc>
        <w:tc>
          <w:tcPr>
            <w:tcW w:w="24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where Net Income is Presented</w:t>
            </w:r>
          </w:p>
        </w:tc>
      </w:tr>
      <w:tr>
        <w:trPr/>
        <w:tc>
          <w:tcPr>
            <w:tcW w:w="29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86" w:type="dxa"/>
            <w:tcBorders/>
            <w:vAlign w:val="center"/>
          </w:tcPr>
          <w:p>
            <w:pPr>
              <w:pStyle w:val="TableContents"/>
              <w:bidi w:val="0"/>
              <w:spacing w:before="0" w:after="1"/>
              <w:ind w:left="0" w:right="0" w:hanging="0"/>
              <w:jc w:val="center"/>
              <w:rPr/>
            </w:pPr>
            <w:r>
              <w:rPr/>
              <w:t>  ​ ​ ​</w:t>
            </w:r>
          </w:p>
        </w:tc>
        <w:tc>
          <w:tcPr>
            <w:tcW w:w="18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center"/>
              <w:rPr/>
            </w:pPr>
            <w:r>
              <w:rPr/>
              <w:t>  ​ ​ ​</w:t>
            </w:r>
          </w:p>
        </w:tc>
        <w:tc>
          <w:tcPr>
            <w:tcW w:w="2435" w:type="dxa"/>
            <w:tcBorders/>
            <w:vAlign w:val="center"/>
          </w:tcPr>
          <w:p>
            <w:pPr>
              <w:pStyle w:val="TableContents"/>
              <w:bidi w:val="0"/>
              <w:spacing w:before="0" w:after="1"/>
              <w:ind w:left="0" w:right="0" w:hanging="0"/>
              <w:jc w:val="center"/>
              <w:rPr/>
            </w:pPr>
            <w:r>
              <w:rPr/>
              <w:t>​</w:t>
            </w:r>
          </w:p>
        </w:tc>
      </w:tr>
      <w:tr>
        <w:trPr/>
        <w:tc>
          <w:tcPr>
            <w:tcW w:w="296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61" w:type="dxa"/>
            <w:tcBorders/>
            <w:vAlign w:val="center"/>
          </w:tcPr>
          <w:p>
            <w:pPr>
              <w:pStyle w:val="TableContents"/>
              <w:bidi w:val="0"/>
              <w:spacing w:before="0" w:after="1"/>
              <w:ind w:left="0" w:right="0" w:hanging="0"/>
              <w:jc w:val="center"/>
              <w:rPr/>
            </w:pPr>
            <w:r>
              <w:rPr/>
              <w:t>​</w:t>
            </w:r>
          </w:p>
        </w:tc>
        <w:tc>
          <w:tcPr>
            <w:tcW w:w="9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6" w:type="dxa"/>
            <w:tcBorders/>
            <w:vAlign w:val="center"/>
          </w:tcPr>
          <w:p>
            <w:pPr>
              <w:pStyle w:val="TableContents"/>
              <w:bidi w:val="0"/>
              <w:spacing w:before="0" w:after="1"/>
              <w:ind w:left="0" w:right="0" w:hanging="0"/>
              <w:jc w:val="center"/>
              <w:rPr/>
            </w:pPr>
            <w:r>
              <w:rPr/>
              <w:t>​</w:t>
            </w:r>
          </w:p>
        </w:tc>
        <w:tc>
          <w:tcPr>
            <w:tcW w:w="7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2" w:type="dxa"/>
            <w:tcBorders/>
            <w:vAlign w:val="center"/>
          </w:tcPr>
          <w:p>
            <w:pPr>
              <w:pStyle w:val="TableContents"/>
              <w:bidi w:val="0"/>
              <w:spacing w:before="0" w:after="1"/>
              <w:ind w:left="0" w:right="0" w:hanging="0"/>
              <w:jc w:val="center"/>
              <w:rPr/>
            </w:pPr>
            <w:r>
              <w:rPr/>
              <w:t>​</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435" w:type="dxa"/>
            <w:tcBorders/>
            <w:vAlign w:val="center"/>
          </w:tcPr>
          <w:p>
            <w:pPr>
              <w:pStyle w:val="TableContents"/>
              <w:bidi w:val="0"/>
              <w:spacing w:before="0" w:after="1"/>
              <w:ind w:left="0" w:right="0" w:hanging="0"/>
              <w:jc w:val="center"/>
              <w:rPr/>
            </w:pPr>
            <w:r>
              <w:rPr/>
              <w:t>​</w:t>
            </w:r>
          </w:p>
        </w:tc>
      </w:tr>
      <w:tr>
        <w:trPr/>
        <w:tc>
          <w:tcPr>
            <w:tcW w:w="29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gains and losses on available-for-sale securities</w:t>
            </w:r>
          </w:p>
        </w:tc>
        <w:tc>
          <w:tcPr>
            <w:tcW w:w="346" w:type="dxa"/>
            <w:tcBorders/>
            <w:shd w:fill="CCEEFF" w:val="clear"/>
            <w:vAlign w:val="center"/>
          </w:tcPr>
          <w:p>
            <w:pPr>
              <w:pStyle w:val="TableContents"/>
              <w:bidi w:val="0"/>
              <w:spacing w:before="0" w:after="1"/>
              <w:ind w:left="0" w:right="0" w:hanging="0"/>
              <w:jc w:val="center"/>
              <w:rPr/>
            </w:pPr>
            <w:r>
              <w:rPr/>
              <w:t>​</w:t>
            </w:r>
          </w:p>
        </w:tc>
        <w:tc>
          <w:tcPr>
            <w:tcW w:w="292" w:type="dxa"/>
            <w:tcBorders/>
            <w:shd w:fill="CCEEFF" w:val="clear"/>
            <w:vAlign w:val="center"/>
          </w:tcPr>
          <w:p>
            <w:pPr>
              <w:pStyle w:val="TableContents"/>
              <w:bidi w:val="0"/>
              <w:spacing w:before="0" w:after="1"/>
              <w:ind w:left="0" w:right="0" w:hanging="0"/>
              <w:jc w:val="center"/>
              <w:rPr/>
            </w:pPr>
            <w:r>
              <w:rPr/>
              <w:t>​</w:t>
            </w:r>
          </w:p>
        </w:tc>
        <w:tc>
          <w:tcPr>
            <w:tcW w:w="515" w:type="dxa"/>
            <w:tcBorders/>
            <w:shd w:fill="CCEEFF" w:val="clear"/>
            <w:vAlign w:val="center"/>
          </w:tcPr>
          <w:p>
            <w:pPr>
              <w:pStyle w:val="TableContents"/>
              <w:bidi w:val="0"/>
              <w:spacing w:before="0" w:after="1"/>
              <w:ind w:left="0" w:right="0" w:hanging="0"/>
              <w:jc w:val="center"/>
              <w:rPr/>
            </w:pPr>
            <w:r>
              <w:rPr/>
              <w:t>​</w:t>
            </w:r>
          </w:p>
        </w:tc>
        <w:tc>
          <w:tcPr>
            <w:tcW w:w="161" w:type="dxa"/>
            <w:tcBorders/>
            <w:shd w:fill="CCEEFF" w:val="clear"/>
            <w:vAlign w:val="center"/>
          </w:tcPr>
          <w:p>
            <w:pPr>
              <w:pStyle w:val="TableContents"/>
              <w:bidi w:val="0"/>
              <w:spacing w:before="0" w:after="1"/>
              <w:ind w:left="0" w:right="0" w:hanging="0"/>
              <w:jc w:val="center"/>
              <w:rPr/>
            </w:pPr>
            <w:r>
              <w:rPr/>
              <w:t>​</w:t>
            </w:r>
          </w:p>
        </w:tc>
        <w:tc>
          <w:tcPr>
            <w:tcW w:w="292" w:type="dxa"/>
            <w:tcBorders/>
            <w:shd w:fill="CCEEFF" w:val="clear"/>
            <w:vAlign w:val="center"/>
          </w:tcPr>
          <w:p>
            <w:pPr>
              <w:pStyle w:val="TableContents"/>
              <w:bidi w:val="0"/>
              <w:spacing w:before="0" w:after="1"/>
              <w:ind w:left="0" w:right="0" w:hanging="0"/>
              <w:jc w:val="center"/>
              <w:rPr/>
            </w:pPr>
            <w:r>
              <w:rPr/>
              <w:t>​</w:t>
            </w:r>
          </w:p>
        </w:tc>
        <w:tc>
          <w:tcPr>
            <w:tcW w:w="657" w:type="dxa"/>
            <w:tcBorders/>
            <w:shd w:fill="CCEEFF" w:val="clear"/>
            <w:vAlign w:val="center"/>
          </w:tcPr>
          <w:p>
            <w:pPr>
              <w:pStyle w:val="TableContents"/>
              <w:bidi w:val="0"/>
              <w:spacing w:before="0" w:after="1"/>
              <w:ind w:left="0" w:right="0" w:hanging="0"/>
              <w:jc w:val="center"/>
              <w:rPr/>
            </w:pPr>
            <w:r>
              <w:rPr/>
              <w:t>​</w:t>
            </w:r>
          </w:p>
        </w:tc>
        <w:tc>
          <w:tcPr>
            <w:tcW w:w="386" w:type="dxa"/>
            <w:tcBorders/>
            <w:shd w:fill="CCEEFF" w:val="clear"/>
            <w:vAlign w:val="center"/>
          </w:tcPr>
          <w:p>
            <w:pPr>
              <w:pStyle w:val="TableContents"/>
              <w:bidi w:val="0"/>
              <w:spacing w:before="0" w:after="1"/>
              <w:ind w:left="0" w:right="0" w:hanging="0"/>
              <w:jc w:val="center"/>
              <w:rPr/>
            </w:pPr>
            <w:r>
              <w:rPr/>
              <w:t>​</w:t>
            </w:r>
          </w:p>
        </w:tc>
        <w:tc>
          <w:tcPr>
            <w:tcW w:w="275" w:type="dxa"/>
            <w:tcBorders/>
            <w:shd w:fill="CCEEFF" w:val="clear"/>
            <w:vAlign w:val="center"/>
          </w:tcPr>
          <w:p>
            <w:pPr>
              <w:pStyle w:val="TableContents"/>
              <w:bidi w:val="0"/>
              <w:spacing w:before="0" w:after="1"/>
              <w:ind w:left="0" w:right="0" w:hanging="0"/>
              <w:jc w:val="center"/>
              <w:rPr/>
            </w:pPr>
            <w:r>
              <w:rPr/>
              <w:t>​</w:t>
            </w:r>
          </w:p>
        </w:tc>
        <w:tc>
          <w:tcPr>
            <w:tcW w:w="485" w:type="dxa"/>
            <w:tcBorders/>
            <w:shd w:fill="CCEEFF" w:val="clear"/>
            <w:vAlign w:val="center"/>
          </w:tcPr>
          <w:p>
            <w:pPr>
              <w:pStyle w:val="TableContents"/>
              <w:bidi w:val="0"/>
              <w:spacing w:before="0" w:after="1"/>
              <w:ind w:left="0" w:right="0" w:hanging="0"/>
              <w:jc w:val="center"/>
              <w:rPr/>
            </w:pPr>
            <w:r>
              <w:rPr/>
              <w:t>​</w:t>
            </w:r>
          </w:p>
        </w:tc>
        <w:tc>
          <w:tcPr>
            <w:tcW w:w="152" w:type="dxa"/>
            <w:tcBorders/>
            <w:shd w:fill="CCEEFF" w:val="clear"/>
            <w:vAlign w:val="center"/>
          </w:tcPr>
          <w:p>
            <w:pPr>
              <w:pStyle w:val="TableContents"/>
              <w:bidi w:val="0"/>
              <w:spacing w:before="0" w:after="1"/>
              <w:ind w:left="0" w:right="0" w:hanging="0"/>
              <w:jc w:val="center"/>
              <w:rPr/>
            </w:pPr>
            <w:r>
              <w:rPr/>
              <w:t>​</w:t>
            </w:r>
          </w:p>
        </w:tc>
        <w:tc>
          <w:tcPr>
            <w:tcW w:w="275" w:type="dxa"/>
            <w:tcBorders/>
            <w:shd w:fill="CCEEFF" w:val="clear"/>
            <w:vAlign w:val="center"/>
          </w:tcPr>
          <w:p>
            <w:pPr>
              <w:pStyle w:val="TableContents"/>
              <w:bidi w:val="0"/>
              <w:spacing w:before="0" w:after="1"/>
              <w:ind w:left="0" w:right="0" w:hanging="0"/>
              <w:jc w:val="center"/>
              <w:rPr/>
            </w:pPr>
            <w:r>
              <w:rPr/>
              <w:t>​</w:t>
            </w:r>
          </w:p>
        </w:tc>
        <w:tc>
          <w:tcPr>
            <w:tcW w:w="62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435" w:type="dxa"/>
            <w:tcBorders/>
            <w:shd w:fill="CCEEFF" w:val="clear"/>
            <w:vAlign w:val="center"/>
          </w:tcPr>
          <w:p>
            <w:pPr>
              <w:pStyle w:val="TableContents"/>
              <w:bidi w:val="0"/>
              <w:spacing w:before="0" w:after="1"/>
              <w:ind w:left="0" w:right="0" w:hanging="0"/>
              <w:jc w:val="center"/>
              <w:rPr/>
            </w:pPr>
            <w:r>
              <w:rPr/>
              <w:t>​</w:t>
            </w:r>
          </w:p>
        </w:tc>
      </w:tr>
      <w:tr>
        <w:trPr/>
        <w:tc>
          <w:tcPr>
            <w:tcW w:w="29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Realized loss on securities available-for-sale</w:t>
            </w:r>
          </w:p>
        </w:tc>
        <w:tc>
          <w:tcPr>
            <w:tcW w:w="34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38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2"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346" w:type="dxa"/>
            <w:tcBorders/>
            <w:vAlign w:val="center"/>
          </w:tcPr>
          <w:p>
            <w:pPr>
              <w:pStyle w:val="TableContents"/>
              <w:bidi w:val="0"/>
              <w:spacing w:before="0" w:after="1"/>
              <w:ind w:left="0" w:right="0" w:hanging="0"/>
              <w:jc w:val="left"/>
              <w:rPr/>
            </w:pPr>
            <w:r>
              <w:rPr/>
              <w:t>​</w:t>
            </w:r>
          </w:p>
        </w:tc>
        <w:tc>
          <w:tcPr>
            <w:tcW w:w="2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security gains (losses)</w:t>
            </w:r>
          </w:p>
        </w:tc>
      </w:tr>
      <w:tr>
        <w:trPr/>
        <w:tc>
          <w:tcPr>
            <w:tcW w:w="29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before tax</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515" w:type="dxa"/>
            <w:tcBorders/>
            <w:shd w:fill="CCEEFF" w:val="clear"/>
            <w:vAlign w:val="center"/>
          </w:tcPr>
          <w:p>
            <w:pPr>
              <w:pStyle w:val="TableContents"/>
              <w:bidi w:val="0"/>
              <w:spacing w:before="0" w:after="1"/>
              <w:ind w:left="0" w:right="0" w:hanging="0"/>
              <w:jc w:val="right"/>
              <w:rPr/>
            </w:pPr>
            <w:r>
              <w:rPr/>
              <w:t>—</w:t>
            </w:r>
          </w:p>
        </w:tc>
        <w:tc>
          <w:tcPr>
            <w:tcW w:w="161"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38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485" w:type="dxa"/>
            <w:tcBorders/>
            <w:shd w:fill="CCEEFF" w:val="clear"/>
            <w:vAlign w:val="center"/>
          </w:tcPr>
          <w:p>
            <w:pPr>
              <w:pStyle w:val="TableContents"/>
              <w:bidi w:val="0"/>
              <w:spacing w:before="0" w:after="1"/>
              <w:ind w:left="0" w:right="0" w:hanging="0"/>
              <w:jc w:val="right"/>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346" w:type="dxa"/>
            <w:tcBorders/>
            <w:shd w:fill="CCEEFF" w:val="clear"/>
            <w:vAlign w:val="center"/>
          </w:tcPr>
          <w:p>
            <w:pPr>
              <w:pStyle w:val="TableContents"/>
              <w:bidi w:val="0"/>
              <w:spacing w:before="0" w:after="1"/>
              <w:ind w:left="0" w:right="0" w:hanging="0"/>
              <w:jc w:val="left"/>
              <w:rPr/>
            </w:pPr>
            <w:r>
              <w:rPr/>
              <w:t>​</w:t>
            </w:r>
          </w:p>
        </w:tc>
        <w:tc>
          <w:tcPr>
            <w:tcW w:w="2435" w:type="dxa"/>
            <w:tcBorders/>
            <w:shd w:fill="CCEEFF" w:val="clear"/>
            <w:vAlign w:val="center"/>
          </w:tcPr>
          <w:p>
            <w:pPr>
              <w:pStyle w:val="TableContents"/>
              <w:bidi w:val="0"/>
              <w:spacing w:before="0" w:after="1"/>
              <w:ind w:left="0" w:right="0" w:hanging="0"/>
              <w:jc w:val="left"/>
              <w:rPr/>
            </w:pPr>
            <w:r>
              <w:rPr/>
              <w:t>​</w:t>
            </w:r>
          </w:p>
        </w:tc>
      </w:tr>
      <w:tr>
        <w:trPr/>
        <w:tc>
          <w:tcPr>
            <w:tcW w:w="29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effect</w:t>
            </w:r>
          </w:p>
        </w:tc>
        <w:tc>
          <w:tcPr>
            <w:tcW w:w="34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38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2"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vAlign w:val="center"/>
          </w:tcPr>
          <w:p>
            <w:pPr>
              <w:pStyle w:val="TableContents"/>
              <w:bidi w:val="0"/>
              <w:spacing w:before="0" w:after="1"/>
              <w:ind w:left="0" w:right="0" w:hanging="0"/>
              <w:jc w:val="left"/>
              <w:rPr/>
            </w:pPr>
            <w:r>
              <w:rPr/>
              <w:t>​</w:t>
            </w:r>
          </w:p>
        </w:tc>
        <w:tc>
          <w:tcPr>
            <w:tcW w:w="2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r>
      <w:tr>
        <w:trPr/>
        <w:tc>
          <w:tcPr>
            <w:tcW w:w="29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61"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w:t>
            </w:r>
          </w:p>
        </w:tc>
        <w:tc>
          <w:tcPr>
            <w:tcW w:w="38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w:t>
            </w:r>
          </w:p>
        </w:tc>
        <w:tc>
          <w:tcPr>
            <w:tcW w:w="346" w:type="dxa"/>
            <w:tcBorders/>
            <w:shd w:fill="CCEEFF" w:val="clear"/>
            <w:vAlign w:val="center"/>
          </w:tcPr>
          <w:p>
            <w:pPr>
              <w:pStyle w:val="TableContents"/>
              <w:bidi w:val="0"/>
              <w:spacing w:before="0" w:after="1"/>
              <w:ind w:left="0" w:right="0" w:hanging="0"/>
              <w:jc w:val="left"/>
              <w:rPr/>
            </w:pPr>
            <w:r>
              <w:rPr/>
              <w:t>​</w:t>
            </w:r>
          </w:p>
        </w:tc>
        <w:tc>
          <w:tcPr>
            <w:tcW w:w="2435" w:type="dxa"/>
            <w:tcBorders/>
            <w:shd w:fill="CCEEFF" w:val="clear"/>
            <w:vAlign w:val="center"/>
          </w:tcPr>
          <w:p>
            <w:pPr>
              <w:pStyle w:val="TableContents"/>
              <w:bidi w:val="0"/>
              <w:spacing w:before="0" w:after="1"/>
              <w:ind w:left="0" w:right="0" w:hanging="0"/>
              <w:jc w:val="left"/>
              <w:rPr/>
            </w:pPr>
            <w:r>
              <w:rPr/>
              <w:t>​</w:t>
            </w:r>
          </w:p>
        </w:tc>
      </w:tr>
      <w:tr>
        <w:trPr/>
        <w:tc>
          <w:tcPr>
            <w:tcW w:w="29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defined benefit pension items</w:t>
            </w:r>
          </w:p>
        </w:tc>
        <w:tc>
          <w:tcPr>
            <w:tcW w:w="34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515" w:type="dxa"/>
            <w:tcBorders/>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485" w:type="dxa"/>
            <w:tcBorders/>
            <w:vAlign w:val="center"/>
          </w:tcPr>
          <w:p>
            <w:pPr>
              <w:pStyle w:val="TableContents"/>
              <w:bidi w:val="0"/>
              <w:spacing w:before="0" w:after="1"/>
              <w:ind w:left="0" w:right="0" w:hanging="0"/>
              <w:jc w:val="right"/>
              <w:rPr/>
            </w:pPr>
            <w:r>
              <w:rPr/>
              <w:t>​</w:t>
            </w:r>
          </w:p>
        </w:tc>
        <w:tc>
          <w:tcPr>
            <w:tcW w:w="152"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5" w:type="dxa"/>
            <w:tcBorders/>
            <w:vAlign w:val="center"/>
          </w:tcPr>
          <w:p>
            <w:pPr>
              <w:pStyle w:val="TableContents"/>
              <w:bidi w:val="0"/>
              <w:spacing w:before="0" w:after="1"/>
              <w:ind w:left="0" w:right="0" w:hanging="0"/>
              <w:jc w:val="left"/>
              <w:rPr/>
            </w:pPr>
            <w:r>
              <w:rPr/>
              <w:t>​</w:t>
            </w:r>
          </w:p>
        </w:tc>
      </w:tr>
      <w:tr>
        <w:trPr/>
        <w:tc>
          <w:tcPr>
            <w:tcW w:w="29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Transition asset</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515" w:type="dxa"/>
            <w:tcBorders/>
            <w:shd w:fill="CCEEFF" w:val="clear"/>
            <w:vAlign w:val="center"/>
          </w:tcPr>
          <w:p>
            <w:pPr>
              <w:pStyle w:val="TableContents"/>
              <w:bidi w:val="0"/>
              <w:spacing w:before="0" w:after="1"/>
              <w:ind w:left="0" w:right="0" w:hanging="0"/>
              <w:jc w:val="right"/>
              <w:rPr/>
            </w:pPr>
            <w:r>
              <w:rPr/>
              <w:t>—</w:t>
            </w:r>
          </w:p>
        </w:tc>
        <w:tc>
          <w:tcPr>
            <w:tcW w:w="161"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3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expense</w:t>
            </w:r>
          </w:p>
        </w:tc>
      </w:tr>
      <w:tr>
        <w:trPr/>
        <w:tc>
          <w:tcPr>
            <w:tcW w:w="29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Actuarial gains (losses)</w:t>
            </w:r>
          </w:p>
        </w:tc>
        <w:tc>
          <w:tcPr>
            <w:tcW w:w="34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2"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expense</w:t>
            </w:r>
          </w:p>
        </w:tc>
      </w:tr>
      <w:tr>
        <w:trPr/>
        <w:tc>
          <w:tcPr>
            <w:tcW w:w="29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before tax</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515" w:type="dxa"/>
            <w:tcBorders/>
            <w:shd w:fill="CCEEFF" w:val="clear"/>
            <w:vAlign w:val="center"/>
          </w:tcPr>
          <w:p>
            <w:pPr>
              <w:pStyle w:val="TableContents"/>
              <w:bidi w:val="0"/>
              <w:spacing w:before="0" w:after="1"/>
              <w:ind w:left="0" w:right="0" w:hanging="0"/>
              <w:jc w:val="right"/>
              <w:rPr/>
            </w:pPr>
            <w:r>
              <w:rPr/>
              <w:t>—</w:t>
            </w:r>
          </w:p>
        </w:tc>
        <w:tc>
          <w:tcPr>
            <w:tcW w:w="161"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485" w:type="dxa"/>
            <w:tcBorders/>
            <w:shd w:fill="CCEEFF" w:val="clear"/>
            <w:vAlign w:val="center"/>
          </w:tcPr>
          <w:p>
            <w:pPr>
              <w:pStyle w:val="TableContents"/>
              <w:bidi w:val="0"/>
              <w:spacing w:before="0" w:after="1"/>
              <w:ind w:left="0" w:right="0" w:hanging="0"/>
              <w:jc w:val="right"/>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35" w:type="dxa"/>
            <w:tcBorders/>
            <w:shd w:fill="CCEEFF" w:val="clear"/>
            <w:vAlign w:val="center"/>
          </w:tcPr>
          <w:p>
            <w:pPr>
              <w:pStyle w:val="TableContents"/>
              <w:bidi w:val="0"/>
              <w:spacing w:before="0" w:after="1"/>
              <w:ind w:left="0" w:right="0" w:hanging="0"/>
              <w:jc w:val="left"/>
              <w:rPr/>
            </w:pPr>
            <w:r>
              <w:rPr/>
              <w:t>​</w:t>
            </w:r>
          </w:p>
        </w:tc>
      </w:tr>
      <w:tr>
        <w:trPr/>
        <w:tc>
          <w:tcPr>
            <w:tcW w:w="29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effect</w:t>
            </w:r>
          </w:p>
        </w:tc>
        <w:tc>
          <w:tcPr>
            <w:tcW w:w="34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2"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r>
      <w:tr>
        <w:trPr/>
        <w:tc>
          <w:tcPr>
            <w:tcW w:w="296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61"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2"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35" w:type="dxa"/>
            <w:tcBorders/>
            <w:shd w:fill="CCEEFF" w:val="clear"/>
            <w:vAlign w:val="center"/>
          </w:tcPr>
          <w:p>
            <w:pPr>
              <w:pStyle w:val="TableContents"/>
              <w:bidi w:val="0"/>
              <w:spacing w:before="0" w:after="1"/>
              <w:ind w:left="0" w:right="0" w:hanging="0"/>
              <w:jc w:val="left"/>
              <w:rPr/>
            </w:pPr>
            <w:r>
              <w:rPr/>
              <w:t>​</w:t>
            </w:r>
          </w:p>
        </w:tc>
      </w:tr>
      <w:tr>
        <w:trPr/>
        <w:tc>
          <w:tcPr>
            <w:tcW w:w="296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reclassifications for the period, net of tax</w:t>
            </w:r>
          </w:p>
        </w:tc>
        <w:tc>
          <w:tcPr>
            <w:tcW w:w="346" w:type="dxa"/>
            <w:tcBorders/>
            <w:vAlign w:val="center"/>
          </w:tcPr>
          <w:p>
            <w:pPr>
              <w:pStyle w:val="TableContents"/>
              <w:bidi w:val="0"/>
              <w:spacing w:before="0" w:after="1"/>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w:t>
            </w:r>
          </w:p>
        </w:tc>
        <w:tc>
          <w:tcPr>
            <w:tcW w:w="386"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8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52"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w:t>
            </w:r>
          </w:p>
        </w:tc>
        <w:tc>
          <w:tcPr>
            <w:tcW w:w="346" w:type="dxa"/>
            <w:tcBorders/>
            <w:vAlign w:val="center"/>
          </w:tcPr>
          <w:p>
            <w:pPr>
              <w:pStyle w:val="TableContents"/>
              <w:bidi w:val="0"/>
              <w:spacing w:before="0" w:after="1"/>
              <w:ind w:left="0" w:right="0" w:hanging="0"/>
              <w:jc w:val="left"/>
              <w:rPr/>
            </w:pPr>
            <w:r>
              <w:rPr/>
              <w:t>​</w:t>
            </w:r>
          </w:p>
        </w:tc>
        <w:tc>
          <w:tcPr>
            <w:tcW w:w="2435" w:type="dxa"/>
            <w:tcBorders/>
            <w:vAlign w:val="center"/>
          </w:tcPr>
          <w:p>
            <w:pPr>
              <w:pStyle w:val="TableContents"/>
              <w:bidi w:val="0"/>
              <w:spacing w:before="0" w:after="1"/>
              <w:ind w:left="0" w:right="0" w:hanging="0"/>
              <w:jc w:val="right"/>
              <w:rPr/>
            </w:pPr>
            <w:r>
              <w:rPr/>
              <w:t>  ​</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2533" w:name="Tc_Pnun3UK2Ok-FVC2YrLsmvg_15_11"/>
      <w:bookmarkStart w:id="2534" w:name="Tc_WHWslxRg_kqCV--9tgdsgA_15_8"/>
      <w:bookmarkStart w:id="2535" w:name="Tc_QlytwzD6dUSxpBpy_kxHww_15_5"/>
      <w:bookmarkStart w:id="2536" w:name="Tc_EIWh-NlaPkab-z7QwxNeIw_15_2"/>
      <w:bookmarkStart w:id="2537" w:name="Tc_u2DR7EzT1EOUS8Wb4Eoh2w_15_0"/>
      <w:bookmarkStart w:id="2538" w:name="Tc_uZOo2r9jcU2RI81Iy8CZLA_14_0"/>
      <w:bookmarkStart w:id="2539" w:name="Tc_s5PfM_N-CE2Ali1jpwyEcg_13_12"/>
      <w:bookmarkStart w:id="2540" w:name="Tc_WwEsxp5140qrVi_I2PU_YA_13_6"/>
      <w:bookmarkStart w:id="2541" w:name="Tc_xH4P8zLVnUGbY0nsUScF6Q_13_0"/>
      <w:bookmarkStart w:id="2542" w:name="Tc_8wePzvtY_0K2956Vq7Pdhw_12_9"/>
      <w:bookmarkStart w:id="2543" w:name="Tc_7Rlqeu9_yku0728DZvBhug_12_3"/>
      <w:bookmarkStart w:id="2544" w:name="Tc_RcPPEiXf-0qpvRAtna1ZbA_12_0"/>
      <w:bookmarkStart w:id="2545" w:name="Tc_4Opa87F9KkqkZ4NZmnqgDw_11_9"/>
      <w:bookmarkStart w:id="2546" w:name="Tc_lQwAq6nz0UaJX-WmECnjYw_11_3"/>
      <w:bookmarkStart w:id="2547" w:name="Tc_keYcHGyFXUmXpB5wXhb1tA_11_0"/>
      <w:bookmarkStart w:id="2548" w:name="Tc__2U4ChaH-UCqRZpV_EarGw_10_0"/>
      <w:bookmarkStart w:id="2549" w:name="Tc_eR7D77D_pkmiOuDz0GWvnw_9_9"/>
      <w:bookmarkStart w:id="2550" w:name="Tc_7a19wj3Clk2crD7cIN9_Qg_9_3"/>
      <w:bookmarkStart w:id="2551" w:name="Tc_GGXHEeUHY0GuEy49WoLyvQ_9_0"/>
      <w:bookmarkStart w:id="2552" w:name="Tc_ico13cuwKkCZ9C4Bhz6X5g_8_0"/>
      <w:bookmarkStart w:id="2553" w:name="Tc_eyesRiUimEib0wj7dAJBcA_7_0"/>
      <w:bookmarkStart w:id="2554" w:name="Tc_VG6zQ9MaxU-WwRy7sUYkJQ_6_0"/>
      <w:bookmarkStart w:id="2555" w:name="Tc_3XOYkOzd8UmDuUId5D_CMg_5_11"/>
      <w:bookmarkStart w:id="2556" w:name="Tc_HbwyQ9OZq0OXXm7ygLD2yQ_5_8"/>
      <w:bookmarkStart w:id="2557" w:name="Tc_SZ37aPqv3UurbaTVaafpGQ_5_5"/>
      <w:bookmarkStart w:id="2558" w:name="Tc_w5Ro7P3PW0CuSmn0Mfhz7w_5_2"/>
      <w:bookmarkStart w:id="2559" w:name="Tc_HSkGgre5lUqIpFd4ELpcJg_5_0"/>
      <w:bookmarkStart w:id="2560" w:name="Tc_6NQEgAFd_0iiSw4U0uMpxQ_4_0"/>
      <w:bookmarkStart w:id="2561" w:name="Tc_cY4BKG9Qs0K1oAel-ZPfAw_3_2"/>
      <w:bookmarkStart w:id="2562" w:name="Tc_C9HRkvgDD0-cUh4S-y9P-Q_2_11"/>
      <w:bookmarkStart w:id="2563" w:name="Tc_At_WE0GtRUGaywkB-Byh9g_2_8"/>
      <w:bookmarkStart w:id="2564" w:name="Tc_aAtDdInPRkWY41yCM-kJAw_2_5"/>
      <w:bookmarkStart w:id="2565" w:name="Tc_m9WETiaAdkeeYbDE77nB5g_2_2"/>
      <w:bookmarkStart w:id="2566" w:name="Tc_OkLDtgMC9Ee7m77yl-W3wg_1_8"/>
      <w:bookmarkStart w:id="2567" w:name="Tc_L_OpmhcDrEyJGYy-4S3iZQ_1_2"/>
      <w:bookmarkStart w:id="2568" w:name="_14213eb6_13de_47d3_82bc_1efcf2e23c48"/>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r>
        <w:rPr>
          <w:rFonts w:ascii="Times New Roman;Times;serif" w:hAnsi="Times New Roman;Times;serif"/>
          <w:b/>
          <w:sz w:val="20"/>
        </w:rPr>
        <w:t>Note 8 — Revenue from Contracts with Customers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All of the Company’s revenue from contracts with customers in the scope of ASC 606 is recognized within noninterest income. The following table presents the Company’s gross sources of noninterest income for the three and six months ended June 30, 2026 and 2025.</w:t>
      </w:r>
    </w:p>
    <w:p>
      <w:pPr>
        <w:pStyle w:val="TextBody"/>
        <w:bidi w:val="0"/>
        <w:spacing w:before="0" w:after="0"/>
        <w:ind w:left="0" w:right="0" w:hanging="0"/>
        <w:jc w:val="left"/>
        <w:rPr/>
      </w:pPr>
      <w:r>
        <w:rPr/>
        <w:t>​</w:t>
      </w:r>
    </w:p>
    <w:tbl>
      <w:tblPr>
        <w:tblW w:w="8050" w:type="dxa"/>
        <w:jc w:val="left"/>
        <w:tblInd w:w="0" w:type="dxa"/>
        <w:tblLayout w:type="fixed"/>
        <w:tblCellMar>
          <w:top w:w="0" w:type="dxa"/>
          <w:left w:w="0" w:type="dxa"/>
          <w:bottom w:w="0" w:type="dxa"/>
          <w:right w:w="0" w:type="dxa"/>
        </w:tblCellMar>
      </w:tblPr>
      <w:tblGrid>
        <w:gridCol w:w="3256"/>
        <w:gridCol w:w="109"/>
        <w:gridCol w:w="275"/>
        <w:gridCol w:w="887"/>
        <w:gridCol w:w="153"/>
        <w:gridCol w:w="275"/>
        <w:gridCol w:w="718"/>
        <w:gridCol w:w="109"/>
        <w:gridCol w:w="239"/>
        <w:gridCol w:w="770"/>
        <w:gridCol w:w="133"/>
        <w:gridCol w:w="239"/>
        <w:gridCol w:w="733"/>
        <w:gridCol w:w="154"/>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067560" cy="175260"/>
                      <wp:effectExtent l="0" t="0" r="0" b="0"/>
                      <wp:wrapNone/>
                      <wp:docPr id="634" name="Frame634"/>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9215" cy="175260"/>
                      <wp:effectExtent l="0" t="0" r="0" b="0"/>
                      <wp:wrapNone/>
                      <wp:docPr id="635" name="Frame6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74625" cy="175260"/>
                      <wp:effectExtent l="0" t="0" r="0" b="0"/>
                      <wp:wrapNone/>
                      <wp:docPr id="636" name="Frame63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563245" cy="175260"/>
                      <wp:effectExtent l="0" t="0" r="0" b="0"/>
                      <wp:wrapNone/>
                      <wp:docPr id="637" name="Frame63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97155" cy="175260"/>
                      <wp:effectExtent l="0" t="0" r="0" b="0"/>
                      <wp:wrapNone/>
                      <wp:docPr id="638" name="Frame638"/>
                      <a:graphic xmlns:a="http://schemas.openxmlformats.org/drawingml/2006/main">
                        <a:graphicData uri="http://schemas.microsoft.com/office/word/2010/wordprocessingShape">
                          <wps:wsp>
                            <wps:cNvSpPr txBox="1"/>
                            <wps:spPr>
                              <a:xfrm>
                                <a:off x="0" y="0"/>
                                <a:ext cx="97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74625" cy="175260"/>
                      <wp:effectExtent l="0" t="0" r="0" b="0"/>
                      <wp:wrapNone/>
                      <wp:docPr id="639" name="Frame63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455930" cy="175260"/>
                      <wp:effectExtent l="0" t="0" r="0" b="0"/>
                      <wp:wrapNone/>
                      <wp:docPr id="640" name="Frame640"/>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9215" cy="175260"/>
                      <wp:effectExtent l="0" t="0" r="0" b="0"/>
                      <wp:wrapNone/>
                      <wp:docPr id="641" name="Frame6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51765" cy="175260"/>
                      <wp:effectExtent l="0" t="0" r="0" b="0"/>
                      <wp:wrapNone/>
                      <wp:docPr id="642" name="Frame64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488950" cy="175260"/>
                      <wp:effectExtent l="0" t="0" r="0" b="0"/>
                      <wp:wrapNone/>
                      <wp:docPr id="643" name="Frame643"/>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84455" cy="175260"/>
                      <wp:effectExtent l="0" t="0" r="0" b="0"/>
                      <wp:wrapNone/>
                      <wp:docPr id="644" name="Frame644"/>
                      <a:graphic xmlns:a="http://schemas.openxmlformats.org/drawingml/2006/main">
                        <a:graphicData uri="http://schemas.microsoft.com/office/word/2010/wordprocessingShape">
                          <wps:wsp>
                            <wps:cNvSpPr txBox="1"/>
                            <wps:spPr>
                              <a:xfrm>
                                <a:off x="0" y="0"/>
                                <a:ext cx="84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51765" cy="175260"/>
                      <wp:effectExtent l="0" t="0" r="0" b="0"/>
                      <wp:wrapNone/>
                      <wp:docPr id="645" name="Frame64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465455" cy="175260"/>
                      <wp:effectExtent l="0" t="0" r="0" b="0"/>
                      <wp:wrapNone/>
                      <wp:docPr id="646" name="Frame646"/>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97790" cy="175260"/>
                      <wp:effectExtent l="0" t="0" r="0" b="0"/>
                      <wp:wrapNone/>
                      <wp:docPr id="647" name="Frame64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1"/>
              <w:ind w:left="0" w:right="0" w:hanging="0"/>
              <w:jc w:val="center"/>
              <w:rPr/>
            </w:pPr>
            <w:r>
              <w:rPr/>
              <w:t>​</w:t>
            </w:r>
          </w:p>
        </w:tc>
      </w:tr>
      <w:tr>
        <w:trPr/>
        <w:tc>
          <w:tcPr>
            <w:tcW w:w="3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3" w:type="dxa"/>
            <w:tcBorders/>
            <w:vAlign w:val="center"/>
          </w:tcPr>
          <w:p>
            <w:pPr>
              <w:pStyle w:val="TableContents"/>
              <w:bidi w:val="0"/>
              <w:spacing w:before="0" w:after="1"/>
              <w:ind w:left="0" w:right="0" w:hanging="0"/>
              <w:jc w:val="center"/>
              <w:rPr/>
            </w:pPr>
            <w:r>
              <w:rPr/>
              <w:t>​</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0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3" w:type="dxa"/>
            <w:tcBorders/>
            <w:vAlign w:val="center"/>
          </w:tcPr>
          <w:p>
            <w:pPr>
              <w:pStyle w:val="TableContents"/>
              <w:bidi w:val="0"/>
              <w:spacing w:before="0" w:after="1"/>
              <w:ind w:left="0" w:right="0" w:hanging="0"/>
              <w:jc w:val="center"/>
              <w:rPr/>
            </w:pPr>
            <w:r>
              <w:rPr/>
              <w:t>​</w:t>
            </w:r>
          </w:p>
        </w:tc>
        <w:tc>
          <w:tcPr>
            <w:tcW w:w="9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center"/>
              <w:rPr/>
            </w:pPr>
            <w:r>
              <w:rPr/>
              <w:t>​</w:t>
            </w:r>
          </w:p>
        </w:tc>
      </w:tr>
      <w:tr>
        <w:trPr/>
        <w:tc>
          <w:tcPr>
            <w:tcW w:w="8050"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31" w:type="dxa"/>
            <w:gridSpan w:val="11"/>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 charges on deposit accounts</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153"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pPr>
            <w:r>
              <w:rPr/>
              <w:t>​</w:t>
            </w:r>
          </w:p>
        </w:tc>
        <w:tc>
          <w:tcPr>
            <w:tcW w:w="13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Overdraft fees </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w:t>
            </w:r>
          </w:p>
        </w:tc>
        <w:tc>
          <w:tcPr>
            <w:tcW w:w="153"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w:t>
            </w:r>
          </w:p>
        </w:tc>
        <w:tc>
          <w:tcPr>
            <w:tcW w:w="13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Other </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w:t>
            </w:r>
          </w:p>
        </w:tc>
        <w:tc>
          <w:tcPr>
            <w:tcW w:w="153"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w:t>
            </w:r>
          </w:p>
        </w:tc>
        <w:tc>
          <w:tcPr>
            <w:tcW w:w="13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Trust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w:t>
            </w:r>
          </w:p>
        </w:tc>
        <w:tc>
          <w:tcPr>
            <w:tcW w:w="153"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1,573</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3,393</w:t>
            </w:r>
          </w:p>
        </w:tc>
        <w:tc>
          <w:tcPr>
            <w:tcW w:w="13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advisory income</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1,552</w:t>
            </w:r>
          </w:p>
        </w:tc>
        <w:tc>
          <w:tcPr>
            <w:tcW w:w="153"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1,823</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3,094</w:t>
            </w:r>
          </w:p>
        </w:tc>
        <w:tc>
          <w:tcPr>
            <w:tcW w:w="13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3,589</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Investment securities gains (losses)</w:t>
            </w:r>
            <w:r>
              <w:rPr>
                <w:rFonts w:ascii="Times New Roman;Times;serif" w:hAnsi="Times New Roman;Times;serif"/>
                <w:sz w:val="14"/>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153"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70" w:type="dxa"/>
            <w:tcBorders/>
            <w:shd w:fill="CCEEFF" w:val="clear"/>
            <w:vAlign w:val="center"/>
          </w:tcPr>
          <w:p>
            <w:pPr>
              <w:pStyle w:val="TableContents"/>
              <w:bidi w:val="0"/>
              <w:spacing w:before="0" w:after="1"/>
              <w:ind w:left="0" w:right="0" w:hanging="0"/>
              <w:jc w:val="right"/>
              <w:rPr/>
            </w:pPr>
            <w:r>
              <w:rPr/>
              <w:t>—</w:t>
            </w:r>
          </w:p>
        </w:tc>
        <w:tc>
          <w:tcPr>
            <w:tcW w:w="13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Earnings on bank owned life insurance</w:t>
            </w:r>
            <w:r>
              <w:rPr>
                <w:rFonts w:ascii="Times New Roman;Times;serif" w:hAnsi="Times New Roman;Times;serif"/>
                <w:sz w:val="14"/>
              </w:rPr>
              <w:t>(a)</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153"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w:t>
            </w:r>
          </w:p>
        </w:tc>
        <w:tc>
          <w:tcPr>
            <w:tcW w:w="13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Proceeds from bank owned life insurance </w:t>
            </w:r>
            <w:r>
              <w:rPr>
                <w:rFonts w:ascii="Times New Roman;Times;serif" w:hAnsi="Times New Roman;Times;serif"/>
                <w:sz w:val="14"/>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153"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2,399</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pPr>
            <w:r>
              <w:rPr/>
              <w:t>—</w:t>
            </w:r>
          </w:p>
        </w:tc>
        <w:tc>
          <w:tcPr>
            <w:tcW w:w="13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Gain on sale of assets</w:t>
            </w:r>
            <w:r>
              <w:rPr>
                <w:rFonts w:ascii="Times New Roman;Times;serif" w:hAnsi="Times New Roman;Times;serif"/>
                <w:sz w:val="14"/>
              </w:rPr>
              <w:t>(a)</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153"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c>
          <w:tcPr>
            <w:tcW w:w="109"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70" w:type="dxa"/>
            <w:tcBorders/>
            <w:vAlign w:val="center"/>
          </w:tcPr>
          <w:p>
            <w:pPr>
              <w:pStyle w:val="TableContents"/>
              <w:bidi w:val="0"/>
              <w:spacing w:before="0" w:after="1"/>
              <w:ind w:left="0" w:right="0" w:hanging="0"/>
              <w:jc w:val="right"/>
              <w:rPr/>
            </w:pPr>
            <w:r>
              <w:rPr/>
              <w:t>—</w:t>
            </w:r>
          </w:p>
        </w:tc>
        <w:tc>
          <w:tcPr>
            <w:tcW w:w="133"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Valuation loss on loans held-for-sale</w:t>
            </w:r>
            <w:r>
              <w:rPr>
                <w:rFonts w:ascii="Times New Roman;Times;serif" w:hAnsi="Times New Roman;Times;serif"/>
                <w:sz w:val="14"/>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(4,761)</w:t>
            </w:r>
          </w:p>
        </w:tc>
        <w:tc>
          <w:tcPr>
            <w:tcW w:w="153"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(4,761)</w:t>
            </w:r>
          </w:p>
        </w:tc>
        <w:tc>
          <w:tcPr>
            <w:tcW w:w="133"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33"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25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Other</w:t>
            </w:r>
            <w:r>
              <w:rPr>
                <w:rFonts w:ascii="Times New Roman;Times;serif" w:hAnsi="Times New Roman;Times;serif"/>
                <w:sz w:val="14"/>
              </w:rPr>
              <w:t>(b)</w:t>
            </w:r>
          </w:p>
        </w:tc>
        <w:tc>
          <w:tcPr>
            <w:tcW w:w="109"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w:t>
            </w:r>
          </w:p>
        </w:tc>
        <w:tc>
          <w:tcPr>
            <w:tcW w:w="153"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w:t>
            </w:r>
          </w:p>
        </w:tc>
        <w:tc>
          <w:tcPr>
            <w:tcW w:w="109"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773</w:t>
            </w:r>
          </w:p>
        </w:tc>
        <w:tc>
          <w:tcPr>
            <w:tcW w:w="133"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811</w:t>
            </w:r>
          </w:p>
        </w:tc>
        <w:tc>
          <w:tcPr>
            <w:tcW w:w="154" w:type="dxa"/>
            <w:tcBorders/>
            <w:vAlign w:val="center"/>
          </w:tcPr>
          <w:p>
            <w:pPr>
              <w:pStyle w:val="TableContents"/>
              <w:bidi w:val="0"/>
              <w:spacing w:before="0" w:after="1"/>
              <w:ind w:left="0" w:right="0" w:hanging="0"/>
              <w:jc w:val="left"/>
              <w:rPr/>
            </w:pPr>
            <w:r>
              <w:rPr/>
              <w:t>​</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Noninterest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w:t>
            </w:r>
          </w:p>
        </w:tc>
        <w:tc>
          <w:tcPr>
            <w:tcW w:w="153"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7,316</w:t>
            </w:r>
          </w:p>
        </w:tc>
        <w:tc>
          <w:tcPr>
            <w:tcW w:w="109"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3,570</w:t>
            </w:r>
          </w:p>
        </w:tc>
        <w:tc>
          <w:tcPr>
            <w:tcW w:w="133"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11,672</w:t>
            </w:r>
          </w:p>
        </w:tc>
        <w:tc>
          <w:tcPr>
            <w:tcW w:w="154" w:type="dxa"/>
            <w:tcBorders/>
            <w:shd w:fill="CCEEFF" w:val="clear"/>
            <w:vAlign w:val="center"/>
          </w:tcPr>
          <w:p>
            <w:pPr>
              <w:pStyle w:val="TableContents"/>
              <w:bidi w:val="0"/>
              <w:spacing w:before="0" w:after="1"/>
              <w:ind w:left="0" w:right="0" w:hanging="0"/>
              <w:jc w:val="left"/>
              <w:rPr/>
            </w:pPr>
            <w:r>
              <w:rPr/>
              <w:t>​</w:t>
            </w:r>
          </w:p>
        </w:tc>
      </w:tr>
    </w:tbl>
    <w:tbl>
      <w:tblPr>
        <w:tblW w:w="2762" w:type="dxa"/>
        <w:jc w:val="left"/>
        <w:tblInd w:w="0" w:type="dxa"/>
        <w:tblLayout w:type="fixed"/>
        <w:tblCellMar>
          <w:top w:w="0" w:type="dxa"/>
          <w:left w:w="0" w:type="dxa"/>
          <w:bottom w:w="0" w:type="dxa"/>
          <w:right w:w="0" w:type="dxa"/>
        </w:tblCellMar>
      </w:tblPr>
      <w:tblGrid>
        <w:gridCol w:w="271"/>
        <w:gridCol w:w="2491"/>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(a)</w:t>
            </w:r>
          </w:p>
        </w:tc>
        <w:tc>
          <w:tcPr>
            <w:tcW w:w="249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Not within the scope of ASC 606.</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(b)</w:t>
            </w:r>
          </w:p>
        </w:tc>
        <w:tc>
          <w:tcPr>
            <w:tcW w:w="996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31F20"/>
                <w:sz w:val="16"/>
              </w:rPr>
              <w:t>The Other category includes safe deposit income, checkbook fees, and debit card fee income, totaling $312</w:t>
            </w:r>
            <w:r>
              <w:rPr>
                <w:caps w:val="false"/>
                <w:smallCaps w:val="false"/>
              </w:rPr>
              <w:t xml:space="preserve"> </w:t>
            </w:r>
            <w:r>
              <w:rPr>
                <w:rFonts w:ascii="Times New Roman;Times;serif" w:hAnsi="Times New Roman;Times;serif"/>
                <w:b w:val="false"/>
                <w:i w:val="false"/>
                <w:caps w:val="false"/>
                <w:smallCaps w:val="false"/>
                <w:sz w:val="16"/>
              </w:rPr>
              <w:t>and $281</w:t>
            </w:r>
            <w:r>
              <w:rPr>
                <w:caps w:val="false"/>
                <w:smallCaps w:val="false"/>
              </w:rPr>
              <w:t xml:space="preserve"> </w:t>
            </w:r>
            <w:r>
              <w:rPr>
                <w:rFonts w:ascii="Times New Roman;Times;serif" w:hAnsi="Times New Roman;Times;serif"/>
                <w:b w:val="false"/>
                <w:i w:val="false"/>
                <w:caps w:val="false"/>
                <w:smallCaps w:val="false"/>
                <w:sz w:val="16"/>
              </w:rPr>
              <w:t>for the three months ended June 30, 2026 and 2025, respectively, and $591</w:t>
            </w:r>
            <w:r>
              <w:rPr>
                <w:caps w:val="false"/>
                <w:smallCaps w:val="false"/>
              </w:rPr>
              <w:t xml:space="preserve"> </w:t>
            </w:r>
            <w:r>
              <w:rPr>
                <w:rFonts w:ascii="Times New Roman;Times;serif" w:hAnsi="Times New Roman;Times;serif"/>
                <w:b w:val="false"/>
                <w:i w:val="false"/>
                <w:caps w:val="false"/>
                <w:smallCaps w:val="false"/>
                <w:sz w:val="16"/>
              </w:rPr>
              <w:t>and $552</w:t>
            </w:r>
            <w:r>
              <w:rPr>
                <w:caps w:val="false"/>
                <w:smallCaps w:val="false"/>
              </w:rPr>
              <w:t xml:space="preserve"> </w:t>
            </w:r>
            <w:r>
              <w:rPr>
                <w:rFonts w:ascii="Times New Roman;Times;serif" w:hAnsi="Times New Roman;Times;serif"/>
                <w:b w:val="false"/>
                <w:i w:val="false"/>
                <w:caps w:val="false"/>
                <w:smallCaps w:val="false"/>
                <w:sz w:val="16"/>
              </w:rPr>
              <w:t>for the six months ended June 30, 2026 and  2025 that are within the scope of ASC 606 and loan related fee income and miscellaneous income, totaling $100</w:t>
            </w:r>
            <w:r>
              <w:rPr>
                <w:caps w:val="false"/>
                <w:smallCaps w:val="false"/>
              </w:rPr>
              <w:t xml:space="preserve"> </w:t>
            </w:r>
            <w:r>
              <w:rPr>
                <w:rFonts w:ascii="Times New Roman;Times;serif" w:hAnsi="Times New Roman;Times;serif"/>
                <w:b w:val="false"/>
                <w:i w:val="false"/>
                <w:caps w:val="false"/>
                <w:smallCaps w:val="false"/>
                <w:sz w:val="16"/>
              </w:rPr>
              <w:t>and $162</w:t>
            </w:r>
            <w:r>
              <w:rPr>
                <w:caps w:val="false"/>
                <w:smallCaps w:val="false"/>
              </w:rPr>
              <w:t xml:space="preserve"> </w:t>
            </w:r>
            <w:r>
              <w:rPr>
                <w:rFonts w:ascii="Times New Roman;Times;serif" w:hAnsi="Times New Roman;Times;serif"/>
                <w:b w:val="false"/>
                <w:i w:val="false"/>
                <w:caps w:val="false"/>
                <w:smallCaps w:val="false"/>
                <w:sz w:val="16"/>
              </w:rPr>
              <w:t>for the three months ended June 30, 2026 and 2025, respectively, and $182</w:t>
            </w:r>
            <w:r>
              <w:rPr>
                <w:caps w:val="false"/>
                <w:smallCaps w:val="false"/>
              </w:rPr>
              <w:t xml:space="preserve"> </w:t>
            </w:r>
            <w:r>
              <w:rPr>
                <w:rFonts w:ascii="Times New Roman;Times;serif" w:hAnsi="Times New Roman;Times;serif"/>
                <w:b w:val="false"/>
                <w:i w:val="false"/>
                <w:caps w:val="false"/>
                <w:smallCaps w:val="false"/>
                <w:sz w:val="16"/>
              </w:rPr>
              <w:t>and $259</w:t>
            </w:r>
            <w:r>
              <w:rPr>
                <w:caps w:val="false"/>
                <w:smallCaps w:val="false"/>
              </w:rPr>
              <w:t xml:space="preserve"> </w:t>
            </w:r>
            <w:r>
              <w:rPr>
                <w:rFonts w:ascii="Times New Roman;Times;serif" w:hAnsi="Times New Roman;Times;serif"/>
                <w:b w:val="false"/>
                <w:i w:val="false"/>
                <w:caps w:val="false"/>
                <w:smallCaps w:val="false"/>
                <w:sz w:val="16"/>
              </w:rPr>
              <w:t>for the six months ended June 30, 2026 and 2025 which are outside the scope of ASC 606.</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earns wealth management fees, which includes trust income and investment advisory income, from its contracts with trust and brokerage customers to manage assets for investment, and/or to transact on their accounts. These fees are primarily earned over time as the Company provides the contracted services and are generally assessed based on a tiered scale of the market value of the assets under management at month-end or quarter-end.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Segment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reportable segments are determined by the Chief Financial Officer, who is the designated Chief Operating Decision Maker (“CODM”), based upon information provided about the Company's products and services offered, primarily distinguished between banking and wealth management services provided by the Bank's wealth management division. They are also distinguished by the level of information provided to the CODM, who uses such information to review performance of various components of the business. Financial performance of the Company's business segments is evaluated by the CODM through evaluation of revenue sources, significant expenses, and budget to actual results in assessing the performance of the Company's segments and in determining the allocation of resources. The CODM reviews revenue sources to evaluate product pricing and significant expense to assess performance of each segment to evaluate compensation of certain employees. Segment pretax profit or loss is used to assess the performance of the banking segment by monitoring the margin between interest revenue and interest expense. Segment pretax profit or loss is used to assess the performance of the Wealth Management Division by monitoring wealth management fee income and AUM. Loans, investments, and deposits primarily provide the revenues in the banking operation and wealth management fee income provide the revenues for the Wealth Management Division. Interest expense, provision for credit losses, salaries and benefits expense, occupancy costs, and technology expense provide the significant expenses in the banking segment, while salaries and benefits, occupancy, and technology costs are the significant expenses in the Wealth Management Division. All operations are domestic.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uses certain methodologies to allocate income and expense to the business segments. Certain expenses are allocated to segments based on proportionate use of services and related expenses. These include support unit expenses such as technology fees, administrative costs, operational expenses, and other charges associated with support functions. Taxes are allocated to each segment based on the effective rate for the period shown.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Banking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Banking segment includes: commercial real estate, commercial real estate construction, commercial and industrial, multifamily, residential real estate, home equity, and consumer lending activities; cash management services; escrow management; deposit gathering; operation of ATMs; telephone and internet banking services; merchant credit card services and customer support and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bookmarkStart w:id="2569" w:name="Tc_BIifihHSi0-FPVW27bh9JQ_25_17"/>
      <w:bookmarkStart w:id="2570" w:name="Tc_wyUQojjC60CR-FXggilzCQ_25_14"/>
      <w:bookmarkStart w:id="2571" w:name="Tc_iCplFE2tKUCFE_VhJY9miw_25_11"/>
      <w:bookmarkStart w:id="2572" w:name="Tc_MYycfuavJU2wTAcN237mew_25_8"/>
      <w:bookmarkStart w:id="2573" w:name="Tc_1Y1jcRcqCEaL78aYkOZriQ_25_5"/>
      <w:bookmarkStart w:id="2574" w:name="Tc_NNKbEzqu8Uax4XbMo80CxQ_25_2"/>
      <w:bookmarkStart w:id="2575" w:name="Tc_v17nF21PF0inWqIiwSekIw_25_0"/>
      <w:bookmarkStart w:id="2576" w:name="Tc_defXbmhkNUau19rvHBo_rw_24_17"/>
      <w:bookmarkStart w:id="2577" w:name="Tc_29zuexdrpUCNiUUlG6rjSQ_24_14"/>
      <w:bookmarkStart w:id="2578" w:name="Tc_lFZl2oekwUGvOLEMErij8w_24_11"/>
      <w:bookmarkStart w:id="2579" w:name="Tc_paWa65hzCUucNBVgKLBa-Q_24_8"/>
      <w:bookmarkStart w:id="2580" w:name="Tc_H9A9f-zEH0alfs5PLWyvVA_24_5"/>
      <w:bookmarkStart w:id="2581" w:name="Tc_31vozpLI0ESFlwrqWLfcmQ_24_2"/>
      <w:bookmarkStart w:id="2582" w:name="Tc_g7Hn9HblYUmM7Z4oKnmtzA_24_0"/>
      <w:bookmarkStart w:id="2583" w:name="Tc_6qHiCswna0SaCct2GFh73w_23_0"/>
      <w:bookmarkStart w:id="2584" w:name="Tc_xqa0Osw1w0SXHpUpQrE1yg_22_0"/>
      <w:bookmarkStart w:id="2585" w:name="Tc_6OmzjJ69OEeKyVYp0X3QwQ_21_0"/>
      <w:bookmarkStart w:id="2586" w:name="Tc_5-rDNI2cr0eeuc3syDvS6Q_20_15"/>
      <w:bookmarkStart w:id="2587" w:name="Tc_m_xJ5hrUHEGxPZhIylJ4XA_20_6"/>
      <w:bookmarkStart w:id="2588" w:name="Tc_84feIcqh0EqHJ6aX8MQbwg_20_0"/>
      <w:bookmarkStart w:id="2589" w:name="Tc_MQxCEUhlK0eWj2ai1rveIQ_19_0"/>
      <w:bookmarkStart w:id="2590" w:name="Tc_xOfs5smh3kGupvuMaRx8pA_18_12"/>
      <w:bookmarkStart w:id="2591" w:name="Tc_FDdJlrk1qE2o9xtlQJS9fQ_18_3"/>
      <w:bookmarkStart w:id="2592" w:name="Tc_yZv-WhaVN0eivL8jz28SWw_18_0"/>
      <w:bookmarkStart w:id="2593" w:name="Tc_hmt6aaq-CEC1-nKHDLqDhQ_17_0"/>
      <w:bookmarkStart w:id="2594" w:name="Tc_-KNiDTCTF0i_M82J9K_Cyg_16_15"/>
      <w:bookmarkStart w:id="2595" w:name="Tc_NZFGJKeGJk2oywufNm9MFQ_16_6"/>
      <w:bookmarkStart w:id="2596" w:name="Tc_f4G1QndEJ0KN4ssyg5YQdg_16_0"/>
      <w:bookmarkStart w:id="2597" w:name="Tc_rk0yjywcp0mMwKq_Xs0FAQ_15_0"/>
      <w:bookmarkStart w:id="2598" w:name="Tc_LO5ctNfs0kuEgfKEH_sX6w_14_0"/>
      <w:bookmarkStart w:id="2599" w:name="Tc_fssq-qdALEGcunL_55Em_g_13_0"/>
      <w:bookmarkStart w:id="2600" w:name="Tc_dIiRLh5Fd0Wpt7PVnvlrtQ_12_0"/>
      <w:bookmarkStart w:id="2601" w:name="Tc_ktNFtR0pcUGlwiRKCsTaXQ_11_0"/>
      <w:bookmarkStart w:id="2602" w:name="Tc_emFCSKGFdEGyFEcTiW7Pgw_10_0"/>
      <w:bookmarkStart w:id="2603" w:name="Tc_yx3KeZxLhEuudGdCr6HjnA_9_0"/>
      <w:bookmarkStart w:id="2604" w:name="Tc_TcR7X6mbpkihL45RG7ZDAQ_8_15"/>
      <w:bookmarkStart w:id="2605" w:name="Tc__VaAt3RoL0mAYRgBnYMLzQ_8_6"/>
      <w:bookmarkStart w:id="2606" w:name="Tc_-_Gjf18WxUuUXod-Bsv16w_8_0"/>
      <w:bookmarkStart w:id="2607" w:name="Tc_XHMgo-IIWUmldGX3oqQ-Iw_7_0"/>
      <w:bookmarkStart w:id="2608" w:name="Tc_gnb30oMwpEqrUcClRae7EQ_6_17"/>
      <w:bookmarkStart w:id="2609" w:name="Tc_gsTa89ukSECPBoOHsNjLIQ_6_15"/>
      <w:bookmarkStart w:id="2610" w:name="Tc_QT9Y6E4dPE6R58Hdn5WSLQ_6_14"/>
      <w:bookmarkStart w:id="2611" w:name="Tc_Ix3XF5ZW20W7TGV3TggREw_6_11"/>
      <w:bookmarkStart w:id="2612" w:name="Tc_RO9a2yDibku-niq_ACM_Vw_6_8"/>
      <w:bookmarkStart w:id="2613" w:name="Tc_otQTwglEL0q_5gIdaSJz5w_6_6"/>
      <w:bookmarkStart w:id="2614" w:name="Tc_gg1RNntonUqGwHSoUiKJ2w_6_5"/>
      <w:bookmarkStart w:id="2615" w:name="Tc_Vbm1MAjM3E2crCXCBC3kLA_6_2"/>
      <w:bookmarkStart w:id="2616" w:name="Tc_ZYt0_InGYkyzNIUQfw5NuQ_6_0"/>
      <w:bookmarkStart w:id="2617" w:name="Tc_VHyPdyfDIEiEsTgnzTCd_g_5_2"/>
      <w:bookmarkStart w:id="2618" w:name="Tc_z5bc-MCUCUCU_FvRY47nTw_4_17"/>
      <w:bookmarkStart w:id="2619" w:name="Tc_284XDSCfiEeP9DwHTL2tMg_4_14"/>
      <w:bookmarkStart w:id="2620" w:name="Tc_70-u1KhafESSSq1Aje_X4A_4_11"/>
      <w:bookmarkStart w:id="2621" w:name="Tc_cyeYS0rR3Ea47xr6-GV6Pw_4_8"/>
      <w:bookmarkStart w:id="2622" w:name="Tc_Lng8_Uq-WkKQ5TBQEM73yw_4_5"/>
      <w:bookmarkStart w:id="2623" w:name="Tc_e9BFId0Lk0qW7oLS1-ZVAg_4_2"/>
      <w:bookmarkStart w:id="2624" w:name="Tc_G59wubu3sk2Ro2csWyAOGg_3_17"/>
      <w:bookmarkStart w:id="2625" w:name="Tc_sKIg9DSBOkqGWXMxU0SWWw_3_14"/>
      <w:bookmarkStart w:id="2626" w:name="Tc_svEdk8QiikqjFOmAA7wbxA_3_8"/>
      <w:bookmarkStart w:id="2627" w:name="Tc_ykgo_blsDk2Xi7NwKtbrDA_3_5"/>
      <w:bookmarkStart w:id="2628" w:name="Tc_58beA6r3H0-GL1o8RgL_hg_2_11"/>
      <w:bookmarkStart w:id="2629" w:name="Tc_vWp6XotQUkCAXsbw0s0Uww_2_2"/>
      <w:bookmarkStart w:id="2630" w:name="Tc_KUv3Wi-pKU2FZGgllkZn8w_1_11"/>
      <w:bookmarkStart w:id="2631" w:name="Tc_d3XUopxHn0mZ3D-ytJ41cw_1_2"/>
      <w:bookmarkStart w:id="2632" w:name="_bbeb4144_6910_4f8e_9b5f_4e4db78a5782"/>
      <w:bookmarkStart w:id="2633" w:name="Tc_Qlx1Y6rlCUC-IhUDjGcIKw_25_17"/>
      <w:bookmarkStart w:id="2634" w:name="Tc_zVZX7UU-GUy-ZuFUbgf1DA_25_14"/>
      <w:bookmarkStart w:id="2635" w:name="Tc_kU5dKCZ_2EaocTG0KsYrAA_25_11"/>
      <w:bookmarkStart w:id="2636" w:name="Tc_hGj04x1hYEedKjEC7GNvwA_25_8"/>
      <w:bookmarkStart w:id="2637" w:name="Tc_3v0MhC79bEi1dK3fipYEdw_25_5"/>
      <w:bookmarkStart w:id="2638" w:name="Tc_QBRWQoHDJEy1LmSUgzI5ag_25_2"/>
      <w:bookmarkStart w:id="2639" w:name="Tc_tiflCq5B4E6x2O_6MzrUPA_25_0"/>
      <w:bookmarkStart w:id="2640" w:name="Tc_67eE2qFN00OKfX_u_-mlWA_24_17"/>
      <w:bookmarkStart w:id="2641" w:name="Tc_up6nKUESpkqxBqEIzfwQ2w_24_14"/>
      <w:bookmarkStart w:id="2642" w:name="Tc_dR44cmF3wUeylNOM4-aHDg_24_11"/>
      <w:bookmarkStart w:id="2643" w:name="Tc_DxEBGALIrUe-a4OAp97Gig_24_8"/>
      <w:bookmarkStart w:id="2644" w:name="Tc_K7jKVD_P2UyPUXAaK-xtOQ_24_5"/>
      <w:bookmarkStart w:id="2645" w:name="Tc_khbOZq1Y4kq2FVc99wm54Q_24_2"/>
      <w:bookmarkStart w:id="2646" w:name="Tc_aulSvLxHE0exp-DsBTS0tw_24_0"/>
      <w:bookmarkStart w:id="2647" w:name="Tc_l1hyn92dxU-DS4tO2n04OQ_23_0"/>
      <w:bookmarkStart w:id="2648" w:name="Tc_gom1CKMMJEiJ46npKJh61g_22_0"/>
      <w:bookmarkStart w:id="2649" w:name="Tc_U2UinCHoYk6CvD0OHf8qlw_21_0"/>
      <w:bookmarkStart w:id="2650" w:name="Tc_YVglJ70BQk6iGkrs1H5UAA_20_15"/>
      <w:bookmarkStart w:id="2651" w:name="Tc_J5W5hpzxp0SsNQBcD-JUWw_20_6"/>
      <w:bookmarkStart w:id="2652" w:name="Tc_ft7KmuRXV0Svke6AMeiK7Q_20_0"/>
      <w:bookmarkStart w:id="2653" w:name="Tc_A4X9zKKtI0GPEmurpSxh2g_19_0"/>
      <w:bookmarkStart w:id="2654" w:name="Tc_ZoJWj0fOHEOE2iIpvaTfVg_18_12"/>
      <w:bookmarkStart w:id="2655" w:name="Tc_43P-3to4VU-dS7mv4zrLVA_18_3"/>
      <w:bookmarkStart w:id="2656" w:name="Tc_PrEhbBSj40KwtyCVtJAncw_18_0"/>
      <w:bookmarkStart w:id="2657" w:name="Tc_FLQIjpmfskaUACaQE5BzRg_17_0"/>
      <w:bookmarkStart w:id="2658" w:name="Tc_F-_IGzDpBkKUbGxZ5jPLNQ_16_15"/>
      <w:bookmarkStart w:id="2659" w:name="Tc_PUZcHpo3-EWPu-sJBX9HTw_16_6"/>
      <w:bookmarkStart w:id="2660" w:name="Tc_AZL2WdR3lUWGUBvbi44fDQ_16_0"/>
      <w:bookmarkStart w:id="2661" w:name="Tc_7sA24nCugU2HN3ZFyLAmSw_15_0"/>
      <w:bookmarkStart w:id="2662" w:name="Tc_vw_aoqawhE2BiiAoZGJ7oQ_14_0"/>
      <w:bookmarkStart w:id="2663" w:name="Tc_BBfBnIZOa0uuf9hsLaKajw_13_0"/>
      <w:bookmarkStart w:id="2664" w:name="Tc_ICrDbPTMa06ltS_iApVTJg_12_0"/>
      <w:bookmarkStart w:id="2665" w:name="Tc_6APjmxY9PUyhAgJs-1CLqA_11_0"/>
      <w:bookmarkStart w:id="2666" w:name="Tc_t3VVz6uGP0uq9Qq-lg-n9Q_10_0"/>
      <w:bookmarkStart w:id="2667" w:name="Tc_tE0AwdqUP0ivYmw157HxyA_9_0"/>
      <w:bookmarkStart w:id="2668" w:name="Tc_8ZRLia4CuU-De4B1UHtxiQ_8_15"/>
      <w:bookmarkStart w:id="2669" w:name="Tc_k2ZP51Rys0iEEAqT_I1Y5Q_8_6"/>
      <w:bookmarkStart w:id="2670" w:name="Tc_fnuoRk-g50ufFR0aI4vKqQ_8_0"/>
      <w:bookmarkStart w:id="2671" w:name="Tc_ahKQbgAcbEWtoKQWRag3OA_7_0"/>
      <w:bookmarkStart w:id="2672" w:name="Tc_X02OF0Ldp06vg6cihBLtlQ_6_17"/>
      <w:bookmarkStart w:id="2673" w:name="Tc_0kixInwB8EWwEGAtN54-pw_6_15"/>
      <w:bookmarkStart w:id="2674" w:name="Tc_9z0pGj2wXkan9_-9hoh9-w_6_14"/>
      <w:bookmarkStart w:id="2675" w:name="Tc_bl1PzbcaB0yscdOHT_IaOg_6_11"/>
      <w:bookmarkStart w:id="2676" w:name="Tc_nrfu5CUJwEqaKswJ6Mt9BQ_6_8"/>
      <w:bookmarkStart w:id="2677" w:name="Tc_X7q-JlpgK0ejJv_sWsMn1A_6_6"/>
      <w:bookmarkStart w:id="2678" w:name="Tc_s5sZJbgwlUKX7KOJL2jqAg_6_5"/>
      <w:bookmarkStart w:id="2679" w:name="Tc_BWUUrSwUg0OCJZlalswA6A_6_2"/>
      <w:bookmarkStart w:id="2680" w:name="Tc_TFqMHrKaKkuH7-OvGVq2yA_6_0"/>
      <w:bookmarkStart w:id="2681" w:name="Tc_L1_RXXQu1kGugJjB6HH9Hg_5_2"/>
      <w:bookmarkStart w:id="2682" w:name="Tc_nSnA_NPYDkq_Guhw2aAR-g_4_17"/>
      <w:bookmarkStart w:id="2683" w:name="Tc_Ws5IhW3cdke1NeLdl5HZjQ_4_14"/>
      <w:bookmarkStart w:id="2684" w:name="Tc_-uzt36qB20KjSSpA8KU7oQ_4_11"/>
      <w:bookmarkStart w:id="2685" w:name="Tc_qp-W1SM52UaV0AuWwwXX3Q_4_8"/>
      <w:bookmarkStart w:id="2686" w:name="Tc_4rW2RMwhTUe6gy2JEQEDyA_4_5"/>
      <w:bookmarkStart w:id="2687" w:name="Tc_5ZRuhRqXqUmRCWFk9c8zOQ_4_2"/>
      <w:bookmarkStart w:id="2688" w:name="Tc_e3PVNvEjKk6Sq2xvjxri1w_3_17"/>
      <w:bookmarkStart w:id="2689" w:name="Tc_xd_ELviwAEKivpSlXGV3vA_3_14"/>
      <w:bookmarkStart w:id="2690" w:name="Tc_6seVtK68BEegAed4P4hPpA_3_8"/>
      <w:bookmarkStart w:id="2691" w:name="Tc_WA0_2saIIkKkJKqlw2AZfw_3_5"/>
      <w:bookmarkStart w:id="2692" w:name="Tc_3rdbZSwrcUeUr8pimQqHFQ_2_11"/>
      <w:bookmarkStart w:id="2693" w:name="Tc_iJRFxlihTEGj0DUkaaiy8w_2_2"/>
      <w:bookmarkStart w:id="2694" w:name="Tc_u-dag1pZuEK9Z_lyqP-I7Q_1_11"/>
      <w:bookmarkStart w:id="2695" w:name="Tc_TRASCHqIo0-ATSHfxDhDDw_1_2"/>
      <w:bookmarkStart w:id="2696" w:name="_d882f3ec_d87f_49e5_b6fb_d6674ae4cf9d"/>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r>
        <w:rPr>
          <w:rFonts w:ascii="Times New Roman;Times;serif" w:hAnsi="Times New Roman;Times;serif"/>
          <w:b/>
          <w:sz w:val="20"/>
        </w:rPr>
        <w:t>Wealth Management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Wealth Management Division, which includes our trust department and OIA, consists of: investment management services provided for individual and institutional customers; personal trust services, including but not limited to, trustee, administrator, and custodian; as well as other planning and advisory services.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present the statements of income and total assets for the Company’s reportable segments at or for the three and six months ended June 30, 2026 and 2025:</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834"/>
        <w:gridCol w:w="346"/>
        <w:gridCol w:w="196"/>
        <w:gridCol w:w="826"/>
        <w:gridCol w:w="346"/>
        <w:gridCol w:w="258"/>
        <w:gridCol w:w="793"/>
        <w:gridCol w:w="346"/>
        <w:gridCol w:w="196"/>
        <w:gridCol w:w="826"/>
        <w:gridCol w:w="346"/>
        <w:gridCol w:w="196"/>
        <w:gridCol w:w="826"/>
        <w:gridCol w:w="346"/>
        <w:gridCol w:w="258"/>
        <w:gridCol w:w="793"/>
        <w:gridCol w:w="346"/>
        <w:gridCol w:w="196"/>
        <w:gridCol w:w="931"/>
      </w:tblGrid>
      <w:tr>
        <w:trPr/>
        <w:tc>
          <w:tcPr>
            <w:tcW w:w="1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164590" cy="175260"/>
                      <wp:effectExtent l="0" t="0" r="0" b="0"/>
                      <wp:wrapNone/>
                      <wp:docPr id="648" name="Frame648"/>
                      <a:graphic xmlns:a="http://schemas.openxmlformats.org/drawingml/2006/main">
                        <a:graphicData uri="http://schemas.microsoft.com/office/word/2010/wordprocessingShape">
                          <wps:wsp>
                            <wps:cNvSpPr txBox="1"/>
                            <wps:spPr>
                              <a:xfrm>
                                <a:off x="0" y="0"/>
                                <a:ext cx="1164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9710" cy="175260"/>
                      <wp:effectExtent l="0" t="0" r="0" b="0"/>
                      <wp:wrapNone/>
                      <wp:docPr id="649" name="Frame6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24460" cy="175260"/>
                      <wp:effectExtent l="0" t="0" r="0" b="0"/>
                      <wp:wrapNone/>
                      <wp:docPr id="650" name="Frame6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524510" cy="175260"/>
                      <wp:effectExtent l="0" t="0" r="0" b="0"/>
                      <wp:wrapNone/>
                      <wp:docPr id="651" name="Frame6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19710" cy="175260"/>
                      <wp:effectExtent l="0" t="0" r="0" b="0"/>
                      <wp:wrapNone/>
                      <wp:docPr id="652" name="Frame6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63830" cy="175260"/>
                      <wp:effectExtent l="0" t="0" r="0" b="0"/>
                      <wp:wrapNone/>
                      <wp:docPr id="653" name="Frame65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503555" cy="175260"/>
                      <wp:effectExtent l="0" t="0" r="0" b="0"/>
                      <wp:wrapNone/>
                      <wp:docPr id="654" name="Frame65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19710" cy="175260"/>
                      <wp:effectExtent l="0" t="0" r="0" b="0"/>
                      <wp:wrapNone/>
                      <wp:docPr id="655" name="Frame6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24460" cy="175260"/>
                      <wp:effectExtent l="0" t="0" r="0" b="0"/>
                      <wp:wrapNone/>
                      <wp:docPr id="656" name="Frame6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524510" cy="175260"/>
                      <wp:effectExtent l="0" t="0" r="0" b="0"/>
                      <wp:wrapNone/>
                      <wp:docPr id="657" name="Frame65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19710" cy="175260"/>
                      <wp:effectExtent l="0" t="0" r="0" b="0"/>
                      <wp:wrapNone/>
                      <wp:docPr id="658" name="Frame6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24460" cy="175260"/>
                      <wp:effectExtent l="0" t="0" r="0" b="0"/>
                      <wp:wrapNone/>
                      <wp:docPr id="659" name="Frame6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524510" cy="175260"/>
                      <wp:effectExtent l="0" t="0" r="0" b="0"/>
                      <wp:wrapNone/>
                      <wp:docPr id="660" name="Frame66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219710" cy="175260"/>
                      <wp:effectExtent l="0" t="0" r="0" b="0"/>
                      <wp:wrapNone/>
                      <wp:docPr id="661" name="Frame6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163830" cy="175260"/>
                      <wp:effectExtent l="0" t="0" r="0" b="0"/>
                      <wp:wrapNone/>
                      <wp:docPr id="662" name="Frame66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503555" cy="175260"/>
                      <wp:effectExtent l="0" t="0" r="0" b="0"/>
                      <wp:wrapNone/>
                      <wp:docPr id="663" name="Frame66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219710" cy="175260"/>
                      <wp:effectExtent l="0" t="0" r="0" b="0"/>
                      <wp:wrapNone/>
                      <wp:docPr id="664" name="Frame6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24460" cy="175260"/>
                      <wp:effectExtent l="0" t="0" r="0" b="0"/>
                      <wp:wrapNone/>
                      <wp:docPr id="665" name="Frame6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591185" cy="175260"/>
                      <wp:effectExtent l="0" t="0" r="0" b="0"/>
                      <wp:wrapNone/>
                      <wp:docPr id="666" name="Frame6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At or for the three months ended </w:t>
            </w:r>
          </w:p>
        </w:tc>
        <w:tc>
          <w:tcPr>
            <w:tcW w:w="346" w:type="dxa"/>
            <w:tcBorders/>
            <w:vAlign w:val="center"/>
          </w:tcPr>
          <w:p>
            <w:pPr>
              <w:pStyle w:val="TableContents"/>
              <w:bidi w:val="0"/>
              <w:spacing w:before="0" w:after="1"/>
              <w:ind w:left="0" w:right="0" w:hanging="0"/>
              <w:jc w:val="left"/>
              <w:rPr/>
            </w:pPr>
            <w:r>
              <w:rPr/>
              <w:t>​</w:t>
            </w:r>
          </w:p>
        </w:tc>
        <w:tc>
          <w:tcPr>
            <w:tcW w:w="389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At or for the six months ended </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w:t>
            </w:r>
          </w:p>
        </w:tc>
        <w:tc>
          <w:tcPr>
            <w:tcW w:w="389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4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25"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28,422</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56,323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56,323</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(3,825)</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(2,917)</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3,570</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credit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1,450</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1,450</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Salaries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(6,373)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(12,833)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(14,921)</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Employee benefits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(2,766)</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(5,654)</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(6,107)</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(1,099)</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(2,587)</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Professional fees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(1,587)</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(2,868)</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(3,326)</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Directors' fees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(1,097)</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(1,157)</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Computer software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(1,733)</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(3,437)</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(3,838)</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FDIC assessment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Advertising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(867)</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(921)</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Advisor expenses related to trust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Telephone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(511)</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(538)</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(741)</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(1,115)</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noninterest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(14,974)</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(30,934)</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(35,193)</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2,311</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(695)</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12,948</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23,227</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24,943</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2,789,722</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10,649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2,800,371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2,789,722</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10,649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2,800,371</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834"/>
        <w:gridCol w:w="346"/>
        <w:gridCol w:w="196"/>
        <w:gridCol w:w="826"/>
        <w:gridCol w:w="346"/>
        <w:gridCol w:w="258"/>
        <w:gridCol w:w="793"/>
        <w:gridCol w:w="346"/>
        <w:gridCol w:w="196"/>
        <w:gridCol w:w="826"/>
        <w:gridCol w:w="346"/>
        <w:gridCol w:w="196"/>
        <w:gridCol w:w="826"/>
        <w:gridCol w:w="346"/>
        <w:gridCol w:w="258"/>
        <w:gridCol w:w="793"/>
        <w:gridCol w:w="346"/>
        <w:gridCol w:w="196"/>
        <w:gridCol w:w="931"/>
      </w:tblGrid>
      <w:tr>
        <w:trPr/>
        <w:tc>
          <w:tcPr>
            <w:tcW w:w="1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164590" cy="175260"/>
                      <wp:effectExtent l="0" t="0" r="0" b="0"/>
                      <wp:wrapNone/>
                      <wp:docPr id="667" name="Frame667"/>
                      <a:graphic xmlns:a="http://schemas.openxmlformats.org/drawingml/2006/main">
                        <a:graphicData uri="http://schemas.microsoft.com/office/word/2010/wordprocessingShape">
                          <wps:wsp>
                            <wps:cNvSpPr txBox="1"/>
                            <wps:spPr>
                              <a:xfrm>
                                <a:off x="0" y="0"/>
                                <a:ext cx="1164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19710" cy="175260"/>
                      <wp:effectExtent l="0" t="0" r="0" b="0"/>
                      <wp:wrapNone/>
                      <wp:docPr id="668" name="Frame6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24460" cy="175260"/>
                      <wp:effectExtent l="0" t="0" r="0" b="0"/>
                      <wp:wrapNone/>
                      <wp:docPr id="669" name="Frame6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524510" cy="175260"/>
                      <wp:effectExtent l="0" t="0" r="0" b="0"/>
                      <wp:wrapNone/>
                      <wp:docPr id="670" name="Frame67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219710" cy="175260"/>
                      <wp:effectExtent l="0" t="0" r="0" b="0"/>
                      <wp:wrapNone/>
                      <wp:docPr id="671" name="Frame6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163830" cy="175260"/>
                      <wp:effectExtent l="0" t="0" r="0" b="0"/>
                      <wp:wrapNone/>
                      <wp:docPr id="672" name="Frame67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503555" cy="175260"/>
                      <wp:effectExtent l="0" t="0" r="0" b="0"/>
                      <wp:wrapNone/>
                      <wp:docPr id="673" name="Frame67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19710" cy="175260"/>
                      <wp:effectExtent l="0" t="0" r="0" b="0"/>
                      <wp:wrapNone/>
                      <wp:docPr id="674" name="Frame6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124460" cy="175260"/>
                      <wp:effectExtent l="0" t="0" r="0" b="0"/>
                      <wp:wrapNone/>
                      <wp:docPr id="675" name="Frame6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524510" cy="175260"/>
                      <wp:effectExtent l="0" t="0" r="0" b="0"/>
                      <wp:wrapNone/>
                      <wp:docPr id="676" name="Frame67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19710" cy="175260"/>
                      <wp:effectExtent l="0" t="0" r="0" b="0"/>
                      <wp:wrapNone/>
                      <wp:docPr id="677" name="Frame6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24460" cy="175260"/>
                      <wp:effectExtent l="0" t="0" r="0" b="0"/>
                      <wp:wrapNone/>
                      <wp:docPr id="678" name="Frame6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524510" cy="175260"/>
                      <wp:effectExtent l="0" t="0" r="0" b="0"/>
                      <wp:wrapNone/>
                      <wp:docPr id="679" name="Frame6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19710" cy="175260"/>
                      <wp:effectExtent l="0" t="0" r="0" b="0"/>
                      <wp:wrapNone/>
                      <wp:docPr id="680" name="Frame6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163830" cy="175260"/>
                      <wp:effectExtent l="0" t="0" r="0" b="0"/>
                      <wp:wrapNone/>
                      <wp:docPr id="681" name="Frame68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503555" cy="175260"/>
                      <wp:effectExtent l="0" t="0" r="0" b="0"/>
                      <wp:wrapNone/>
                      <wp:docPr id="682" name="Frame68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19710" cy="175260"/>
                      <wp:effectExtent l="0" t="0" r="0" b="0"/>
                      <wp:wrapNone/>
                      <wp:docPr id="683" name="Frame6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24460" cy="175260"/>
                      <wp:effectExtent l="0" t="0" r="0" b="0"/>
                      <wp:wrapNone/>
                      <wp:docPr id="684" name="Frame6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591185" cy="175260"/>
                      <wp:effectExtent l="0" t="0" r="0" b="0"/>
                      <wp:wrapNone/>
                      <wp:docPr id="685" name="Frame6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At or for the three months ended </w:t>
            </w:r>
          </w:p>
        </w:tc>
        <w:tc>
          <w:tcPr>
            <w:tcW w:w="346" w:type="dxa"/>
            <w:tcBorders/>
            <w:vAlign w:val="center"/>
          </w:tcPr>
          <w:p>
            <w:pPr>
              <w:pStyle w:val="TableContents"/>
              <w:bidi w:val="0"/>
              <w:spacing w:before="0" w:after="1"/>
              <w:ind w:left="0" w:right="0" w:hanging="0"/>
              <w:jc w:val="left"/>
              <w:rPr/>
            </w:pPr>
            <w:r>
              <w:rPr/>
              <w:t>​</w:t>
            </w:r>
          </w:p>
        </w:tc>
        <w:tc>
          <w:tcPr>
            <w:tcW w:w="389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At or for the six months ended </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left"/>
              <w:rPr/>
            </w:pPr>
            <w:r>
              <w:rPr/>
              <w:t>​</w:t>
            </w:r>
          </w:p>
        </w:tc>
        <w:tc>
          <w:tcPr>
            <w:tcW w:w="389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4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1"/>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025"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25,140</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48,768</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48,768</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 income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3,920</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7,316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4,836</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11,672</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credit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(2,315)</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(2,315)</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Salaries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(5,508)</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(11,217)</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(13,718)</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Employee benefits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(2,074)</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(4,256)</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(4,788)</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(2,257)</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(2,576)</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Professional fees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(1,544)</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(2,715)</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(3,013)</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Directors' fees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(604)</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(625)</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Computer software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(1,944)</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(3,759)</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(4,099)</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FDIC assessment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Advertising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(829)</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(870)</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Advisor expenses related to trust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Telephone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(384)</w:t>
            </w:r>
          </w:p>
        </w:tc>
        <w:tc>
          <w:tcPr>
            <w:tcW w:w="34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(850)</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(1,800)</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(2,302)</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noninterest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(14,414)</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(28,624)</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(33,248)</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(2,906)</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(5,247)</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(5,712)</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9,627</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17,418</w:t>
            </w:r>
          </w:p>
        </w:tc>
        <w:tc>
          <w:tcPr>
            <w:tcW w:w="346"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19,165</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2,595,763</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2,606,263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2,595,763</w:t>
            </w:r>
          </w:p>
        </w:tc>
        <w:tc>
          <w:tcPr>
            <w:tcW w:w="346" w:type="dxa"/>
            <w:tcBorders/>
            <w:vAlign w:val="center"/>
          </w:tcPr>
          <w:p>
            <w:pPr>
              <w:pStyle w:val="TableContents"/>
              <w:bidi w:val="0"/>
              <w:spacing w:before="0" w:after="1"/>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10,500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2,606,263</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697" w:name="Tc_z-7OPI0E9Um28Qcj28muWQ_16_21"/>
      <w:bookmarkStart w:id="2698" w:name="Tc_NdwaEEsLLE206KQ26Hy-5Q_16_15"/>
      <w:bookmarkStart w:id="2699" w:name="Tc_VsQeOSjgHUqUTk2u1PiEtg_16_13"/>
      <w:bookmarkStart w:id="2700" w:name="Tc_EHWEUOe5fUyB4rMOg-8m-Q_16_11"/>
      <w:bookmarkStart w:id="2701" w:name="Tc_KIeVtSy0I0qQIN7j-WaweQ_16_6"/>
      <w:bookmarkStart w:id="2702" w:name="Tc_wfOmsj2QmEy9aPUDEiJkOg_16_0"/>
      <w:bookmarkStart w:id="2703" w:name="Tc_wq4JgNNSp0erMQynsyhbHQ_15_21"/>
      <w:bookmarkStart w:id="2704" w:name="Tc_rLci9phFTECvFZxlht1g1A_15_16"/>
      <w:bookmarkStart w:id="2705" w:name="Tc_NViFy_1bTUmQgo3e2XOmpw_15_11"/>
      <w:bookmarkStart w:id="2706" w:name="Tc_fC-xMLsLo0mzVlJsvalHtA_15_6"/>
      <w:bookmarkStart w:id="2707" w:name="Tc_Oo2ZPWrC2UWzZ_ii413Vcw_15_0"/>
      <w:bookmarkStart w:id="2708" w:name="Tc_kmS92s2PrkqfmQ-y6I2tyg_14_21"/>
      <w:bookmarkStart w:id="2709" w:name="Tc_UDi79WexrkOkbCs5oTV6lA_14_16"/>
      <w:bookmarkStart w:id="2710" w:name="Tc_1uG6Wc81ckSnZsjzcK4VtQ_14_11"/>
      <w:bookmarkStart w:id="2711" w:name="Tc_6XDYwWh0z06zbQeil-lL5Q_14_6"/>
      <w:bookmarkStart w:id="2712" w:name="Tc_PIdM9Br0nkmYIQ3y0s54mg_14_0"/>
      <w:bookmarkStart w:id="2713" w:name="Tc_-qejkJhQzUaiasir0ODnEw_13_21"/>
      <w:bookmarkStart w:id="2714" w:name="Tc_biUFXpcOikyTK00npwczbQ_13_17"/>
      <w:bookmarkStart w:id="2715" w:name="Tc__shQPJKqzUmFI3-EC0f3bg_13_16"/>
      <w:bookmarkStart w:id="2716" w:name="Tc_9ecdqatNSEij6jl4O6f0uw_13_12"/>
      <w:bookmarkStart w:id="2717" w:name="Tc_Acij2hPaQkS2TZdXAzh8TQ_13_11"/>
      <w:bookmarkStart w:id="2718" w:name="Tc_PlIvYf5NaUuHUOYC66n68A_13_7"/>
      <w:bookmarkStart w:id="2719" w:name="Tc_K78zDK2kdk2kZ5p2zLWyFA_13_6"/>
      <w:bookmarkStart w:id="2720" w:name="Tc_rnuOURQp00yON4y6yfkRQQ_13_2"/>
      <w:bookmarkStart w:id="2721" w:name="Tc_PcchMYtYFEuc6FD6f696_Q_13_0"/>
      <w:bookmarkStart w:id="2722" w:name="Tc_xGHPac46W0O4lomr4LE_aA_12_0"/>
      <w:bookmarkStart w:id="2723" w:name="Tc_uz-DlAiomEOj4a3G-_yKwA_11_21"/>
      <w:bookmarkStart w:id="2724" w:name="Tc_LMuKk7s6zkO32qan7k_ZDA_11_15"/>
      <w:bookmarkStart w:id="2725" w:name="Tc_-mNLgflnB02f2X-1f15CWw_11_13"/>
      <w:bookmarkStart w:id="2726" w:name="Tc_8c_gmpztVUyfc0vbxpuoqw_11_11"/>
      <w:bookmarkStart w:id="2727" w:name="Tc_TCIRL3eJp0OoCOKEb8n9Bw_11_6"/>
      <w:bookmarkStart w:id="2728" w:name="Tc_M4DMEERRrU2XhW5kkPbg1w_11_0"/>
      <w:bookmarkStart w:id="2729" w:name="Tc_aYAZSK2s40ClzE989WNZQQ_10_21"/>
      <w:bookmarkStart w:id="2730" w:name="Tc_LbVq-aSSlEOqLHtnSvWnow_10_16"/>
      <w:bookmarkStart w:id="2731" w:name="Tc_CMNbpxQmGEy6ffHwRZzc6w_10_11"/>
      <w:bookmarkStart w:id="2732" w:name="Tc_szLKUkUSaUCA6ytN0gtGzQ_10_6"/>
      <w:bookmarkStart w:id="2733" w:name="Tc_C16yeiOw1EqXKWHkQ3tFCQ_10_0"/>
      <w:bookmarkStart w:id="2734" w:name="Tc_IY1-KkHLe0icIyCPZS3GDQ_9_21"/>
      <w:bookmarkStart w:id="2735" w:name="Tc_w4ovLMP1zkiq1aZN-1_LMQ_9_16"/>
      <w:bookmarkStart w:id="2736" w:name="Tc_mVOIz4ZYxE2XGyNXayoLaw_9_11"/>
      <w:bookmarkStart w:id="2737" w:name="Tc_XdvPSQX2DUu1EXlhRlWmuA_9_6"/>
      <w:bookmarkStart w:id="2738" w:name="Tc_mftim56qZUG-wFotACzVFA_9_0"/>
      <w:bookmarkStart w:id="2739" w:name="Tc_39xF0mMZAkyTtBYUkrMa6w_8_21"/>
      <w:bookmarkStart w:id="2740" w:name="Tc_HipRYM_nE0aQMfFK23VlmQ_8_17"/>
      <w:bookmarkStart w:id="2741" w:name="Tc_Dl1MruSIhUiglqul0hQ6ow_8_16"/>
      <w:bookmarkStart w:id="2742" w:name="Tc_37YlGvbmaUmlfcay9wjbpQ_8_12"/>
      <w:bookmarkStart w:id="2743" w:name="Tc_bDm8e0YVo0-raAXIeaG04w_8_11"/>
      <w:bookmarkStart w:id="2744" w:name="Tc_C16VyXFkyE63OKQ2Xaf_-g_8_7"/>
      <w:bookmarkStart w:id="2745" w:name="Tc_kMwEVc4xZk-ddPVxleHrNQ_8_6"/>
      <w:bookmarkStart w:id="2746" w:name="Tc_4qIUztK3iECyrLAsjcL_4g_8_2"/>
      <w:bookmarkStart w:id="2747" w:name="Tc_wVewHGfBpUO1RKuagQpaTg_8_0"/>
      <w:bookmarkStart w:id="2748" w:name="Tc_djbMowzEKEOD1QgB18vJHg_7_0"/>
      <w:bookmarkStart w:id="2749" w:name="Tc_KaXAk1Ky8kypZIIxY7GiAA_6_2"/>
      <w:bookmarkStart w:id="2750" w:name="Tc_xCh9yK92nkGAxMLWninKKg_5_20"/>
      <w:bookmarkStart w:id="2751" w:name="Tc_aem1Qs06qE-R5Q5JKWK4PA_5_17"/>
      <w:bookmarkStart w:id="2752" w:name="Tc_HD2xI7ixtU-3O6ZLzUR7WQ_5_15"/>
      <w:bookmarkStart w:id="2753" w:name="Tc_1J6jAZaAEUa8OSQkJSnRPw_5_12"/>
      <w:bookmarkStart w:id="2754" w:name="Tc_OZP488i1kECFEobKJaimGw_5_10"/>
      <w:bookmarkStart w:id="2755" w:name="Tc_MDfOA1rKQkuwxSXDXXtDLA_5_7"/>
      <w:bookmarkStart w:id="2756" w:name="Tc_cDjT4H9pWEeUTz6bwG6Lkw_5_5"/>
      <w:bookmarkStart w:id="2757" w:name="Tc_CjDtq0spekWPLEw823fyFA_5_2"/>
      <w:bookmarkStart w:id="2758" w:name="Tc_yVOnc0Vpi0mRR7t66yvGmA_4_17"/>
      <w:bookmarkStart w:id="2759" w:name="Tc_E513hWmq5kqRvtHW2O4Z_g_4_12"/>
      <w:bookmarkStart w:id="2760" w:name="Tc_O8LHCxK5CUSznPVadQfExA_4_7"/>
      <w:bookmarkStart w:id="2761" w:name="Tc_3z78Uk7TIUK-hdcbKEn-RA_4_2"/>
      <w:bookmarkStart w:id="2762" w:name="Tc_fLfaueenQEe1-5kUzL4vfQ_3_17"/>
      <w:bookmarkStart w:id="2763" w:name="Tc_ysUbjXSY106hKf5SNTtVHg_3_12"/>
      <w:bookmarkStart w:id="2764" w:name="Tc_8wYviOR5cEGGQv0Soq4w3Q_3_7"/>
      <w:bookmarkStart w:id="2765" w:name="Tc_GymJ9gyXWk24vv8YoPyZbA_2_17"/>
      <w:bookmarkStart w:id="2766" w:name="Tc_8LlBomDnIUaY5M1B0xSLEA_2_12"/>
      <w:bookmarkStart w:id="2767" w:name="Tc_KcO9mL1tu0GIl0mvCRaZeg_1_17"/>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r>
        <w:rPr>
          <w:rFonts w:ascii="Times New Roman;Times;serif" w:hAnsi="Times New Roman;Times;serif"/>
          <w:b/>
          <w:sz w:val="20"/>
        </w:rPr>
        <w:t>Note 10 — Regulatory Capital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Bank is subject to regulatory capital requirements administered by the federal banking agencies. Capital adequacy guidelines and prompt corrective regulations involve quantitative measures of assets, liabilities and certain off-balance-sheet items calculated under regulatory accounting practices. Capital amounts and classifications are also subject to qualitative judgements by regulators. Failure to meet the minimum capital requirements can initiate regulatory action. The final rules implementing Basel Committee on Banking Supervision’s capital guidelines for U.S. banks, (Basel III rules), became effective for the Bank on January 1, 2015 with full compliance with all of the requirements being phased in over a multi-year schedule, and fully phased in by January 1, 2019. Under the Basel III rules, the Bank must hold a capital conservation buffer above the adequately capitalized risk-based capital ratios. The regulations limit capital distributions and certain discretionary bonus payments to management if the institution does not hold a “capital conservation buffer.” The capital conservation buffer is 2.5%. The net unrealized gain or loss on available for sale securities is not included in computing regulatory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June 2025, the Company completed a follow-on common stock offering with gross proceeds of approximately $46.0 million before discounts and expenses with net proceeds estimated at approximately $43.6 million.  The Company downstreamed $41.0 million to the Bank.  The offering issued approximately 2.0 million shares of common stock priced at $23.25.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September 2025, the Company issued $25.0 million in aggregate principal amount of fixed to floating subordinated notes (the “2025 Notes”) to certain institutional investors. The 2025 Notes are non-callable for five years, have a stated maturity of September 30, 2035, and bear interest at a fixed rate of 6.50% per year until September 30, 2030. From September 30, 2030 to the maturity date or early redemption date, the interest rate will reset quarterly to a level equal to the then current three-month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320.5 basis points, payable quarterly in arrears.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Capital levels at June 30, 2026 and at December 31, 2025 exceeded the regulatory minimum levels for the Bank to be considered well capitalized under the prompt corrective action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Actual and required capital amounts and ratios are presented below at June 30, 2026 and December 31, 2025 for the Bank.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44"/>
        <w:gridCol w:w="346"/>
        <w:gridCol w:w="196"/>
        <w:gridCol w:w="691"/>
        <w:gridCol w:w="346"/>
        <w:gridCol w:w="511"/>
        <w:gridCol w:w="346"/>
        <w:gridCol w:w="196"/>
        <w:gridCol w:w="691"/>
        <w:gridCol w:w="346"/>
        <w:gridCol w:w="436"/>
        <w:gridCol w:w="346"/>
        <w:gridCol w:w="196"/>
        <w:gridCol w:w="691"/>
        <w:gridCol w:w="346"/>
        <w:gridCol w:w="601"/>
        <w:gridCol w:w="346"/>
        <w:gridCol w:w="196"/>
        <w:gridCol w:w="691"/>
        <w:gridCol w:w="346"/>
        <w:gridCol w:w="511"/>
        <w:gridCol w:w="286"/>
      </w:tblGrid>
      <w:tr>
        <w:trPr/>
        <w:tc>
          <w:tcPr>
            <w:tcW w:w="1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980440" cy="175260"/>
                      <wp:effectExtent l="0" t="0" r="0" b="0"/>
                      <wp:wrapNone/>
                      <wp:docPr id="686" name="Frame686"/>
                      <a:graphic xmlns:a="http://schemas.openxmlformats.org/drawingml/2006/main">
                        <a:graphicData uri="http://schemas.microsoft.com/office/word/2010/wordprocessingShape">
                          <wps:wsp>
                            <wps:cNvSpPr txBox="1"/>
                            <wps:spPr>
                              <a:xfrm>
                                <a:off x="0" y="0"/>
                                <a:ext cx="980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19710" cy="175260"/>
                      <wp:effectExtent l="0" t="0" r="0" b="0"/>
                      <wp:wrapNone/>
                      <wp:docPr id="687" name="Frame6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124460" cy="175260"/>
                      <wp:effectExtent l="0" t="0" r="0" b="0"/>
                      <wp:wrapNone/>
                      <wp:docPr id="688" name="Frame6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438785" cy="175260"/>
                      <wp:effectExtent l="0" t="0" r="0" b="0"/>
                      <wp:wrapNone/>
                      <wp:docPr id="689" name="Frame6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19710" cy="175260"/>
                      <wp:effectExtent l="0" t="0" r="0" b="0"/>
                      <wp:wrapNone/>
                      <wp:docPr id="690" name="Frame6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324485" cy="175260"/>
                      <wp:effectExtent l="0" t="0" r="0" b="0"/>
                      <wp:wrapNone/>
                      <wp:docPr id="691" name="Frame69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19710" cy="175260"/>
                      <wp:effectExtent l="0" t="0" r="0" b="0"/>
                      <wp:wrapNone/>
                      <wp:docPr id="692" name="Frame6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124460" cy="175260"/>
                      <wp:effectExtent l="0" t="0" r="0" b="0"/>
                      <wp:wrapNone/>
                      <wp:docPr id="693" name="Frame6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438785" cy="175260"/>
                      <wp:effectExtent l="0" t="0" r="0" b="0"/>
                      <wp:wrapNone/>
                      <wp:docPr id="694" name="Frame6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9710" cy="175260"/>
                      <wp:effectExtent l="0" t="0" r="0" b="0"/>
                      <wp:wrapNone/>
                      <wp:docPr id="695" name="Frame6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76860" cy="175260"/>
                      <wp:effectExtent l="0" t="0" r="0" b="0"/>
                      <wp:wrapNone/>
                      <wp:docPr id="696" name="Frame69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19710" cy="175260"/>
                      <wp:effectExtent l="0" t="0" r="0" b="0"/>
                      <wp:wrapNone/>
                      <wp:docPr id="697" name="Frame6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24460" cy="175260"/>
                      <wp:effectExtent l="0" t="0" r="0" b="0"/>
                      <wp:wrapNone/>
                      <wp:docPr id="698" name="Frame6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438785" cy="175260"/>
                      <wp:effectExtent l="0" t="0" r="0" b="0"/>
                      <wp:wrapNone/>
                      <wp:docPr id="699" name="Frame6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19710" cy="175260"/>
                      <wp:effectExtent l="0" t="0" r="0" b="0"/>
                      <wp:wrapNone/>
                      <wp:docPr id="700" name="Frame7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381635" cy="175260"/>
                      <wp:effectExtent l="0" t="0" r="0" b="0"/>
                      <wp:wrapNone/>
                      <wp:docPr id="701" name="Frame70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19710" cy="175260"/>
                      <wp:effectExtent l="0" t="0" r="0" b="0"/>
                      <wp:wrapNone/>
                      <wp:docPr id="702" name="Frame7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24460" cy="175260"/>
                      <wp:effectExtent l="0" t="0" r="0" b="0"/>
                      <wp:wrapNone/>
                      <wp:docPr id="703" name="Frame7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438785" cy="175260"/>
                      <wp:effectExtent l="0" t="0" r="0" b="0"/>
                      <wp:wrapNone/>
                      <wp:docPr id="704" name="Frame7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19710" cy="175260"/>
                      <wp:effectExtent l="0" t="0" r="0" b="0"/>
                      <wp:wrapNone/>
                      <wp:docPr id="705" name="Frame7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324485" cy="175260"/>
                      <wp:effectExtent l="0" t="0" r="0" b="0"/>
                      <wp:wrapNone/>
                      <wp:docPr id="706" name="Frame70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81610" cy="175260"/>
                      <wp:effectExtent l="0" t="0" r="0" b="0"/>
                      <wp:wrapNone/>
                      <wp:docPr id="707" name="Frame70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34" w:type="dxa"/>
            <w:gridSpan w:val="4"/>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4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 be Well Capitalized</w:t>
            </w:r>
          </w:p>
        </w:tc>
        <w:tc>
          <w:tcPr>
            <w:tcW w:w="286" w:type="dxa"/>
            <w:tcBorders/>
            <w:vAlign w:val="center"/>
          </w:tcPr>
          <w:p>
            <w:pPr>
              <w:pStyle w:val="TableContents"/>
              <w:bidi w:val="0"/>
              <w:spacing w:before="0" w:after="1"/>
              <w:ind w:left="0" w:right="0" w:hanging="0"/>
              <w:jc w:val="center"/>
              <w:rPr/>
            </w:pPr>
            <w:r>
              <w:rPr/>
              <w:t> </w:t>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3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Capital Adequacy</w:t>
            </w:r>
          </w:p>
        </w:tc>
        <w:tc>
          <w:tcPr>
            <w:tcW w:w="346" w:type="dxa"/>
            <w:tcBorders/>
            <w:vAlign w:val="center"/>
          </w:tcPr>
          <w:p>
            <w:pPr>
              <w:pStyle w:val="TableContents"/>
              <w:bidi w:val="0"/>
              <w:spacing w:before="0" w:after="1"/>
              <w:ind w:left="0" w:right="0" w:hanging="0"/>
              <w:jc w:val="left"/>
              <w:rPr/>
            </w:pPr>
            <w:r>
              <w:rPr/>
              <w:t>​</w:t>
            </w:r>
          </w:p>
        </w:tc>
        <w:tc>
          <w:tcPr>
            <w:tcW w:w="174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under Prompt</w:t>
            </w:r>
          </w:p>
        </w:tc>
        <w:tc>
          <w:tcPr>
            <w:tcW w:w="286" w:type="dxa"/>
            <w:tcBorders/>
            <w:vAlign w:val="center"/>
          </w:tcPr>
          <w:p>
            <w:pPr>
              <w:pStyle w:val="TableContents"/>
              <w:bidi w:val="0"/>
              <w:spacing w:before="0" w:after="1"/>
              <w:ind w:left="0" w:right="0" w:hanging="0"/>
              <w:jc w:val="center"/>
              <w:rPr/>
            </w:pPr>
            <w:r>
              <w:rPr/>
              <w:t>​</w:t>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9"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For Capital Adequacy</w:t>
            </w:r>
          </w:p>
        </w:tc>
        <w:tc>
          <w:tcPr>
            <w:tcW w:w="346" w:type="dxa"/>
            <w:tcBorders/>
            <w:vAlign w:val="center"/>
          </w:tcPr>
          <w:p>
            <w:pPr>
              <w:pStyle w:val="TableContents"/>
              <w:bidi w:val="0"/>
              <w:spacing w:before="0" w:after="1"/>
              <w:ind w:left="0" w:right="0" w:hanging="0"/>
              <w:jc w:val="left"/>
              <w:rPr/>
            </w:pPr>
            <w:r>
              <w:rPr/>
              <w:t>​</w:t>
            </w:r>
          </w:p>
        </w:tc>
        <w:tc>
          <w:tcPr>
            <w:tcW w:w="183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Purposes with</w:t>
            </w:r>
          </w:p>
        </w:tc>
        <w:tc>
          <w:tcPr>
            <w:tcW w:w="346" w:type="dxa"/>
            <w:tcBorders/>
            <w:vAlign w:val="center"/>
          </w:tcPr>
          <w:p>
            <w:pPr>
              <w:pStyle w:val="TableContents"/>
              <w:bidi w:val="0"/>
              <w:spacing w:before="0" w:after="1"/>
              <w:ind w:left="0" w:right="0" w:hanging="0"/>
              <w:jc w:val="left"/>
              <w:rPr/>
            </w:pPr>
            <w:r>
              <w:rPr/>
              <w:t>​</w:t>
            </w:r>
          </w:p>
        </w:tc>
        <w:tc>
          <w:tcPr>
            <w:tcW w:w="1744"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Corrective Action </w:t>
            </w:r>
          </w:p>
        </w:tc>
        <w:tc>
          <w:tcPr>
            <w:tcW w:w="286" w:type="dxa"/>
            <w:tcBorders/>
            <w:vAlign w:val="center"/>
          </w:tcPr>
          <w:p>
            <w:pPr>
              <w:pStyle w:val="TableContents"/>
              <w:bidi w:val="0"/>
              <w:spacing w:before="0" w:after="1"/>
              <w:ind w:left="0" w:right="0" w:hanging="0"/>
              <w:jc w:val="center"/>
              <w:rPr/>
            </w:pPr>
            <w:r>
              <w:rPr/>
              <w:t> </w:t>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7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Actual</w:t>
            </w:r>
          </w:p>
        </w:tc>
        <w:tc>
          <w:tcPr>
            <w:tcW w:w="346" w:type="dxa"/>
            <w:tcBorders/>
            <w:vAlign w:val="center"/>
          </w:tcPr>
          <w:p>
            <w:pPr>
              <w:pStyle w:val="TableContents"/>
              <w:bidi w:val="0"/>
              <w:spacing w:before="0" w:after="1"/>
              <w:ind w:left="0" w:right="0" w:hanging="0"/>
              <w:jc w:val="left"/>
              <w:rPr/>
            </w:pPr>
            <w:r>
              <w:rPr/>
              <w:t>​</w:t>
            </w:r>
          </w:p>
        </w:tc>
        <w:tc>
          <w:tcPr>
            <w:tcW w:w="16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Purposes</w:t>
            </w:r>
          </w:p>
        </w:tc>
        <w:tc>
          <w:tcPr>
            <w:tcW w:w="346" w:type="dxa"/>
            <w:tcBorders/>
            <w:vAlign w:val="center"/>
          </w:tcPr>
          <w:p>
            <w:pPr>
              <w:pStyle w:val="TableContents"/>
              <w:bidi w:val="0"/>
              <w:spacing w:before="0" w:after="1"/>
              <w:ind w:left="0" w:right="0" w:hanging="0"/>
              <w:jc w:val="left"/>
              <w:rPr/>
            </w:pPr>
            <w:r>
              <w:rPr/>
              <w:t>​</w:t>
            </w:r>
          </w:p>
        </w:tc>
        <w:tc>
          <w:tcPr>
            <w:tcW w:w="18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 Buffer</w:t>
            </w:r>
          </w:p>
        </w:tc>
        <w:tc>
          <w:tcPr>
            <w:tcW w:w="346" w:type="dxa"/>
            <w:tcBorders/>
            <w:vAlign w:val="center"/>
          </w:tcPr>
          <w:p>
            <w:pPr>
              <w:pStyle w:val="TableContents"/>
              <w:bidi w:val="0"/>
              <w:spacing w:before="0" w:after="1"/>
              <w:ind w:left="0" w:right="0" w:hanging="0"/>
              <w:jc w:val="left"/>
              <w:rPr/>
            </w:pPr>
            <w:r>
              <w:rPr/>
              <w:t>​</w:t>
            </w:r>
          </w:p>
        </w:tc>
        <w:tc>
          <w:tcPr>
            <w:tcW w:w="17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Provisions</w:t>
            </w:r>
          </w:p>
        </w:tc>
        <w:tc>
          <w:tcPr>
            <w:tcW w:w="286" w:type="dxa"/>
            <w:tcBorders/>
            <w:vAlign w:val="center"/>
          </w:tcPr>
          <w:p>
            <w:pPr>
              <w:pStyle w:val="TableContents"/>
              <w:bidi w:val="0"/>
              <w:spacing w:before="0" w:after="1"/>
              <w:ind w:left="0" w:right="0" w:hanging="0"/>
              <w:jc w:val="center"/>
              <w:rPr/>
            </w:pPr>
            <w:r>
              <w:rPr/>
              <w:t> </w:t>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Ratio</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Ratio</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Ratio</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1"/>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Ratio</w:t>
            </w:r>
          </w:p>
        </w:tc>
        <w:tc>
          <w:tcPr>
            <w:tcW w:w="286" w:type="dxa"/>
            <w:tcBorders/>
            <w:vAlign w:val="center"/>
          </w:tcPr>
          <w:p>
            <w:pPr>
              <w:pStyle w:val="TableContents"/>
              <w:bidi w:val="0"/>
              <w:spacing w:before="0" w:after="1"/>
              <w:ind w:left="0" w:right="0" w:hanging="0"/>
              <w:jc w:val="center"/>
              <w:rPr/>
            </w:pPr>
            <w:r>
              <w:rPr/>
              <w:t> </w:t>
            </w:r>
          </w:p>
        </w:tc>
      </w:tr>
      <w:tr>
        <w:trPr/>
        <w:tc>
          <w:tcPr>
            <w:tcW w:w="10205"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15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029" w:type="dxa"/>
            <w:gridSpan w:val="19"/>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(Dollars in thousands)</w:t>
            </w:r>
          </w:p>
        </w:tc>
        <w:tc>
          <w:tcPr>
            <w:tcW w:w="286" w:type="dxa"/>
            <w:tcBorders/>
            <w:vAlign w:val="center"/>
          </w:tcPr>
          <w:p>
            <w:pPr>
              <w:pStyle w:val="TableContents"/>
              <w:bidi w:val="0"/>
              <w:spacing w:before="0" w:after="1"/>
              <w:ind w:left="0" w:right="0" w:hanging="0"/>
              <w:jc w:val="center"/>
              <w:rPr/>
            </w:pPr>
            <w:r>
              <w:rPr/>
              <w:t>​</w:t>
            </w:r>
          </w:p>
        </w:tc>
      </w:tr>
      <w:tr>
        <w:trPr/>
        <w:tc>
          <w:tcPr>
            <w:tcW w:w="154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154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capital to risk weighted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385,408</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160,551</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210,723</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200,689</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4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Tier 1 (Core) capital to risk weighted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360,301</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120,413</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170,586</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160,551</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4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Tier 1 (CET1) to risk weighted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360,301</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90,310</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140,482</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130,448</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4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Tier 1 (Core) Capital to average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360,301</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109,575</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136,969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4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December 31, 2025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r>
      <w:tr>
        <w:trPr/>
        <w:tc>
          <w:tcPr>
            <w:tcW w:w="154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capital to risk weighted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364,506</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156,926</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193,706</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9.875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196,158</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4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Tier 1 (Core) capital to risk weighted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339,939</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117,695</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154,474</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7.875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156,926</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4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Tier 1 (CET1) to risk weighted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339,939</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88,271</w:t>
            </w:r>
          </w:p>
        </w:tc>
        <w:tc>
          <w:tcPr>
            <w:tcW w:w="346" w:type="dxa"/>
            <w:tcBorders/>
            <w:shd w:fill="CCEEFF" w:val="clear"/>
            <w:vAlign w:val="center"/>
          </w:tcPr>
          <w:p>
            <w:pPr>
              <w:pStyle w:val="TableContents"/>
              <w:bidi w:val="0"/>
              <w:spacing w:before="0" w:after="1"/>
              <w:ind w:left="0" w:right="0" w:hanging="0"/>
              <w:jc w:val="left"/>
              <w:rPr/>
            </w:pPr>
            <w:r>
              <w:rPr/>
              <w:t> </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125,051</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6.375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127,503</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54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Tier 1 (Core) Capital to average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339,939</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107,326</w:t>
            </w:r>
          </w:p>
        </w:tc>
        <w:tc>
          <w:tcPr>
            <w:tcW w:w="346" w:type="dxa"/>
            <w:tcBorders/>
            <w:vAlign w:val="center"/>
          </w:tcPr>
          <w:p>
            <w:pPr>
              <w:pStyle w:val="TableContents"/>
              <w:bidi w:val="0"/>
              <w:spacing w:before="0" w:after="1"/>
              <w:ind w:left="0" w:right="0" w:hanging="0"/>
              <w:jc w:val="left"/>
              <w:rPr/>
            </w:pPr>
            <w:r>
              <w:rPr/>
              <w:t> </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134,158</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2768" w:name="_ba6d6da5_64c2_48e9_93aa_a18615384da5"/>
      <w:bookmarkEnd w:id="2768"/>
      <w:r>
        <w:rPr/>
        <w:t>​</w:t>
      </w:r>
    </w:p>
    <w:p>
      <w:pPr>
        <w:pStyle w:val="TextBody"/>
        <w:bidi w:val="0"/>
        <w:spacing w:before="0" w:after="240"/>
        <w:ind w:left="0" w:right="0" w:hanging="0"/>
        <w:jc w:val="both"/>
        <w:rPr>
          <w:rFonts w:ascii="Times New Roman;Times;serif" w:hAnsi="Times New Roman;Times;serif"/>
          <w:b/>
          <w:sz w:val="20"/>
        </w:rPr>
      </w:pPr>
      <w:bookmarkStart w:id="2769" w:name="Item2ManagementsDiscussionandAnalysisofF"/>
      <w:bookmarkEnd w:id="2769"/>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at June 30, 2026 and December 31, 2025 and for the three and six months ended June 30, 2026 and 2025 should be read in conjunction with our audited consolidated financial statements and the accompanying notes in our Annual Report on Form 10-K for the year ended December 31, 2025.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and elsewhere in this Quarterly Report on Form 10-Q, may cause actual results to differ materially from those projected results discussed in the forward-looking statements appearing in this discussion and analysis. We assume no obligation to update any of these forward-looking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21E of the Securities Exchange Act of 1934.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“attribute,” “continue,” “will,” “anticipate,” “seek,” “estimate,” “intend,” “plan,” “projection,” “goal,” “target,” “outlook,” “aim,” “would,” “annualized” and “outlook,” or the negative version of those words or other comparable words or phrases of a future or forward-looking nature. These forward-looking statements include, but are not limited to:</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our goals, intentions and expectations;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our business plans, prospects, growth and operating strategies;</w:t>
            </w:r>
          </w:p>
        </w:tc>
      </w:tr>
    </w:tbl>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the quality of our loan and investment portfolios; and</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risks and future costs and benefits.</w:t>
            </w:r>
          </w:p>
        </w:tc>
      </w:tr>
    </w:tbl>
    <w:p>
      <w:pPr>
        <w:pStyle w:val="TextBody"/>
        <w:bidi w:val="0"/>
        <w:spacing w:before="0" w:after="240"/>
        <w:ind w:left="72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factors, among others, could cause actual results to differ materially from the anticipated results or other expectations expressed in the forward-looking statements: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tariffs and changes in the interest rate environment that reduce our margins or reduce the fair value of financial instruments;</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either nationally or in our market areas, that are worse than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level and direction of loan delinquencies and write-offs and changes in estimates of the adequacy of the allowance for credit losses;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cost-effective funding;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involving the failure of financial institutions may adversely affect our business, and the market price of our common stock;</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real estate values and both residential and commercial real estate market conditions;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loans and deposits in our market area;</w:t>
            </w:r>
          </w:p>
        </w:tc>
      </w:tr>
    </w:tbl>
    <w:tbl>
      <w:tblPr>
        <w:tblW w:w="3831" w:type="dxa"/>
        <w:jc w:val="left"/>
        <w:tblInd w:w="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loan participations;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and change our business strategies;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among depository and other financial institutions;</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delinquencies, amounts of non-performing loans and loans that are charged-off;</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the securities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stock market may have a significant adverse effect on transaction fees, client activity and client investment portfolio gains and losses related to our trust and wealth management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government regulations or policies affecting financial institutions, including changes in regulatory fees and capital requirements;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new markets successfully and capitalize on growth opportunities;</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capitalize on strategic opportunities;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introduce new products and services;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prevent or mitigate fraudulent activity;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into our operations any assets, liabilities, customers, systems and management personnel we may acquire and our ability to realize related revenue synergies and cost savings within expected time frames, and any goodwill charges related thereto;</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our existing customers;</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spending, borrowing and savings habits;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policies and practices, as may be adopted by the bank regulatory agencies, the Financial Accounting Standards Board, the Securities and Exchange Commission or the Public Company Accounting Oversight Board;</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organization, compensation and benefit plans;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quality or composition of our loan or investment portfolios;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in security of our information systems, including the occurrence of a cyber incident or a deficiency in cyber security;</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 or civil unrest;</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war or terrorism or pandemics;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and innovation with respect to financial products and services by banks, financial institutions and non-traditional providers, including retail businesses and technology companies;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attract and retain skilled people;</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FDIC insurance premium increases, or special assessment may adversely affect our earnings;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and monetary policies of the federal government and its agencies;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economic, competitive, governmental, regulatory and operational factors affecting our operations, pricing, products and services described elsewhere in this Quarterly Report on Form 10-Q.</w:t>
            </w:r>
          </w:p>
        </w:tc>
      </w:tr>
    </w:tbl>
    <w:p>
      <w:pPr>
        <w:pStyle w:val="TextBody"/>
        <w:bidi w:val="0"/>
        <w:spacing w:before="0" w:after="240"/>
        <w:ind w:left="36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foregoing factors should not be construed as exhaustive and should be read in conjunction with other cautionary statements that are included in this Quarterly Report on Form 10-Q.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New risks and uncertainties arise from time to time, and it is not possible for us to predict those events or how they may affect us.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pPr>
      <w:r>
        <w:rPr/>
        <w:t xml:space="preserve">        </w:t>
      </w:r>
      <w:r>
        <w:rPr>
          <w:rFonts w:ascii="Times New Roman;Times;serif" w:hAnsi="Times New Roman;Times;serif"/>
          <w:sz w:val="20"/>
        </w:rPr>
        <w:t>We are a bank holding company headquartered in Middletown, New York and registered under the Bank Holding Company Act. Through our wholly owned subsidiaries, Orange Bank &amp; Trust Company and Orange Investment Advisors, formerly known as Hudson Valley Investment Advisors, Inc., we offer full-service commercial and consumer banking products and services and trust and wealth management services to small businesses, middle-market enterprises, local municipal governments and affluent individuals in the Lower Hudson Valley region, the New York metropolitan area and nearby markets in Connecticut and New Jersey. By combining the high-touch service and relationship-based focus of a community bank with the extensive suite of financial products and services offered by our larger competitors, we believe we can continue to capitalize on the growth opportunities available in our market areas. We also offer a variety of deposit accounts to businesses and consumers, including checking accounts and a full line of municipal banking accounts through our business banking platform. These activities, together with our 16 offices and one loan production office, continue to produce a stable source of low-cost core deposits and a diverse loan portfolio with attractive risk-adjusted yields. We also offer private banking services through Orange Bank &amp; Trust Private Banking, a division of Orange Bank &amp; Trust Company, and provide trust and wealth management services through Orange Bank &amp; Trust Company’s trust services department and OIA, which combined had $1.7 billion in assets under management at June 30, 2026. As of June 30, 2026, our assets, loans, deposits and stockholders’ equity totaled $2.8 billion, $1.9 billion, $2.4 billion and $306.6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At June 30, 2026, we operate from our main office and 15 branch offices. We own our main office in Middletown, New York, and three branch offices which are located in Chester, Newburgh and in Montgomery, New York. We lease twelve branch offices located in Middletown, Goshen, Cortlandt Manor, White Plains, Mamaroneck, New City, Mt. Pleasant, Mount Vernon, Nanuet, Yonkers, and two Bronx locations, all in New York. The branches are leased under agreements that may be renewed for various periods. In addition, OIA operates from leased offices located in Goshen, New York. At June 30, 2026 and December 31, 2025, the total net book value of our leasehold improvements, furniture, fixtures and equipment was approximately $15.5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Factors Affecting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Net Interest Income.</w:t>
      </w:r>
      <w:r>
        <w:rPr>
          <w:rFonts w:ascii="Times New Roman;Times;serif" w:hAnsi="Times New Roman;Times;serif"/>
          <w:sz w:val="20"/>
        </w:rPr>
        <w:t xml:space="preserve"> Net interest income is the most significant contributor to our net income and is the difference between the interest and fees earned on interest-earning assets and the interest expense incurred in connection with interest-bearing liabilities. Net interest income is primarily a function of the average balances and yields/rates of these interest-earning assets and interest-bearing liabilities. These factors are influenced by internal considerations such as product mix and risk appetite as well as external influences such as economic conditions, competition for loans and deposits and market interest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 of our deposits and short-term borrowings is primarily based on short-term interest rates, which are largely driven by the Board of Governors of the Federal Reserve System’s (the “FRB”) actions and market competition. The yields generated by our loans and securities are typically affected by short-term and long-term interest rates, which are driven by market competition and market rates often impacted by the FRB’s actions. The level of net interest income is influenced by movements in such interest rates and the pace at which such movements occur.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Considering the impact of the FRB’s rate policy during 2025 and current 2026 economic conditions, it is possible that interest rates may be revised during the current year. Although our asset sensitivity remains relatively neutral, this movement could have a significant impact on our net interest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Noninterest Income</w:t>
      </w:r>
      <w:r>
        <w:rPr>
          <w:rFonts w:ascii="Times New Roman;Times;serif" w:hAnsi="Times New Roman;Times;serif"/>
          <w:sz w:val="20"/>
        </w:rPr>
        <w:t>. Noninterest income is also a contributor to our net income. Noninterest income consists primarily of our investment advisory income, trust income generated by OIA and our trust department, as well as income generated by our BOLI investment earnings. In addition, noninterest income is also impacted by net gains (losses) on the sale of investment securities and loans, service charges on deposit accounts, and other fee income consisting primarily of debit card fee income, checkbook fees and rebates and safe deposit box rental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Noninterest Expense.</w:t>
      </w:r>
      <w:r>
        <w:rPr>
          <w:rFonts w:ascii="Times New Roman;Times;serif" w:hAnsi="Times New Roman;Times;serif"/>
          <w:sz w:val="20"/>
        </w:rPr>
        <w:t xml:space="preserve"> Noninterest expense includes salaries, employee benefits, occupancy, professional fees, directors’ fees and expenses, computer software expense, federal deposit insurance assessment, advertising expenses, advisor expenses related to trust income and other expenses. In evaluating our level of noninterest expense, we closely monitor our efficiency ratio. The efficiency ratio is calculated by dividing noninterest expense by net interest income plus noninterest income. We continue to seek to identify ways to streamline our business and operate more efficiently.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Credit Quality.</w:t>
      </w:r>
      <w:r>
        <w:rPr>
          <w:rFonts w:ascii="Times New Roman;Times;serif" w:hAnsi="Times New Roman;Times;serif"/>
          <w:sz w:val="20"/>
        </w:rPr>
        <w:t xml:space="preserve"> We have well established loan policies and underwriting practices that have resulted in relatively low levels of loan charge-offs and nonperforming assets in recent periods. We strive to originate quality loans that will maintain the credit quality of our loan portfolio. However, credit trends in the markets in which we operate are largely impacted by economic conditions beyond our control and can adversely impact our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Competition.</w:t>
      </w:r>
      <w:r>
        <w:rPr>
          <w:rFonts w:ascii="Times New Roman;Times;serif" w:hAnsi="Times New Roman;Times;serif"/>
          <w:sz w:val="20"/>
        </w:rPr>
        <w:t xml:space="preserve"> The industry and businesses in which we operate are highly competitive. We may see increased competition in different areas including interest rates, underwriting standards and product offerings and structure. While we seek to maintain an appropriate return on our investments, we anticipate that we will experience continued pressure on our net interest margin as we operate in this competitive environment.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Economic Conditions.</w:t>
      </w:r>
      <w:r>
        <w:rPr>
          <w:rFonts w:ascii="Times New Roman;Times;serif" w:hAnsi="Times New Roman;Times;serif"/>
          <w:sz w:val="20"/>
        </w:rPr>
        <w:t xml:space="preserve"> Our business and financial performance are affected by economic conditions generally in the United States and more directly in the market of the Lower Hudson Valley region, the New York metropolitan area and nearby markets in Connecticut and New Jersey where we primarily operate. The significant economic factors that are most relevant and impactful to our business and our financial performance include, but are not limited to, real estate values, interest rates and unemployment rates.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Regulatory Trends.</w:t>
      </w:r>
      <w:r>
        <w:rPr>
          <w:rFonts w:ascii="Times New Roman;Times;serif" w:hAnsi="Times New Roman;Times;serif"/>
          <w:sz w:val="20"/>
        </w:rPr>
        <w:t xml:space="preserve"> We operate in a highly regulated environment and nearly all of our operations are subject to extensive regulation and supervision. Bank or securities regulators, Congress, the State of New York, the FRB and the New York State Department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Services (the “NYSDFS”) may revise the laws and regulations applicable to us, may impose new laws and regulations, increase the level of scrutiny of our business in the supervisory process, and pursue additional enforcement actions against financial institutions. Future legislative and regulatory changes such as these may increase our costs and have an adverse effect on our business, financial condition and results of operations. The legislative and regulatory trends that will affect us in the future are impossible to predict with any certainty.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Critical accounting estimates are necessary in the application of certain accounting policies and procedures and are particularly susceptible to significant change. Critical accounting policies are defined as those involving significant judgments and assumptions by management that could have a material impact on the carrying value of certain assets or on income under different assumptions or conditions. These critical estimates, policies and their application are periodically reviewed with the Audit Committee and the board of directors. Management believes that the most critical accounting estimates, which involve the most complex or subjective decisions or assessments, are as follows: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Allowance for Credit Losses. </w:t>
      </w:r>
      <w:r>
        <w:rPr>
          <w:rFonts w:ascii="Times New Roman;Times;serif" w:hAnsi="Times New Roman;Times;serif"/>
          <w:sz w:val="20"/>
        </w:rPr>
        <w:t>Management believes that the determination of the allowance for credit losses involves a high degree of complexity and requires management to make difficult and subjective judgments, which often require assumptions or estimates about highly uncertain matters. Changes in these judgments, assumptions or estimates could materially impact the results of operations for Orange County Bancorp. The methodology, assumptions, and governance of this CECL model have been codified in a policy document that was most recently reviewed and approved by the Company’s Audit &amp; Risk Committee during the fourth quarter of 2025.  While there were no fundamental changes to the CECL model during the quarter, management evaluated certain probability of default assumptions as well as the loss driver analysis.  This evaluation resulted in adjustment of certain assumptions but were not considered significant changes to the model. Accordingly, management believes there were no significant changes to the critical accounting estimates during the three  and six months ended June 30, 2026, and as disclosed in the Company’s Annual Report on Form 10-K as filed with the Securities and Exchange Commission on March 16, 2026.   A summary of our accounting policies, including the Allowance for Credit Losses, is included in the Company’s Annual Report on Form 10-K.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Discussion and Analysis of Financial Condition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Summary Financial Condition</w:t>
      </w:r>
      <w:r>
        <w:rPr>
          <w:rFonts w:ascii="Times New Roman;Times;serif" w:hAnsi="Times New Roman;Times;serif"/>
          <w:b/>
          <w:sz w:val="20"/>
        </w:rPr>
        <w:t xml:space="preserve">. </w:t>
      </w:r>
      <w:r>
        <w:rPr>
          <w:rFonts w:ascii="Times New Roman;Times;serif" w:hAnsi="Times New Roman;Times;serif"/>
          <w:sz w:val="20"/>
        </w:rPr>
        <w:t>The following table sets forth a summary of the material categories of our balance sheet at the dates indicated:</w:t>
      </w:r>
    </w:p>
    <w:p>
      <w:pPr>
        <w:pStyle w:val="TextBody"/>
        <w:bidi w:val="0"/>
        <w:spacing w:before="0" w:after="240"/>
        <w:ind w:left="0" w:right="0" w:firstLine="360"/>
        <w:jc w:val="both"/>
        <w:rPr/>
      </w:pPr>
      <w:r>
        <w:rPr/>
        <w:t>​</w:t>
      </w:r>
    </w:p>
    <w:tbl>
      <w:tblPr>
        <w:tblW w:w="7726" w:type="dxa"/>
        <w:jc w:val="left"/>
        <w:tblInd w:w="0" w:type="dxa"/>
        <w:tblLayout w:type="fixed"/>
        <w:tblCellMar>
          <w:top w:w="0" w:type="dxa"/>
          <w:left w:w="0" w:type="dxa"/>
          <w:bottom w:w="0" w:type="dxa"/>
          <w:right w:w="0" w:type="dxa"/>
        </w:tblCellMar>
      </w:tblPr>
      <w:tblGrid>
        <w:gridCol w:w="3031"/>
        <w:gridCol w:w="196"/>
        <w:gridCol w:w="826"/>
        <w:gridCol w:w="109"/>
        <w:gridCol w:w="218"/>
        <w:gridCol w:w="922"/>
        <w:gridCol w:w="109"/>
        <w:gridCol w:w="196"/>
        <w:gridCol w:w="721"/>
        <w:gridCol w:w="346"/>
        <w:gridCol w:w="661"/>
        <w:gridCol w:w="39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924685" cy="175260"/>
                      <wp:effectExtent l="0" t="0" r="0" b="0"/>
                      <wp:wrapNone/>
                      <wp:docPr id="708" name="Frame708"/>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124460" cy="175260"/>
                      <wp:effectExtent l="0" t="0" r="0" b="0"/>
                      <wp:wrapNone/>
                      <wp:docPr id="709" name="Frame7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524510" cy="175260"/>
                      <wp:effectExtent l="0" t="0" r="0" b="0"/>
                      <wp:wrapNone/>
                      <wp:docPr id="710" name="Frame71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69215" cy="175260"/>
                      <wp:effectExtent l="0" t="0" r="0" b="0"/>
                      <wp:wrapNone/>
                      <wp:docPr id="711" name="Frame7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138430" cy="175260"/>
                      <wp:effectExtent l="0" t="0" r="0" b="0"/>
                      <wp:wrapNone/>
                      <wp:docPr id="712" name="Frame71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585470" cy="175260"/>
                      <wp:effectExtent l="0" t="0" r="0" b="0"/>
                      <wp:wrapNone/>
                      <wp:docPr id="713" name="Frame713"/>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9215" cy="175260"/>
                      <wp:effectExtent l="0" t="0" r="0" b="0"/>
                      <wp:wrapNone/>
                      <wp:docPr id="714" name="Frame7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24460" cy="175260"/>
                      <wp:effectExtent l="0" t="0" r="0" b="0"/>
                      <wp:wrapNone/>
                      <wp:docPr id="715" name="Frame7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457835" cy="175260"/>
                      <wp:effectExtent l="0" t="0" r="0" b="0"/>
                      <wp:wrapNone/>
                      <wp:docPr id="716" name="Frame71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19710" cy="175260"/>
                      <wp:effectExtent l="0" t="0" r="0" b="0"/>
                      <wp:wrapNone/>
                      <wp:docPr id="717" name="Frame7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419735" cy="175260"/>
                      <wp:effectExtent l="0" t="0" r="0" b="0"/>
                      <wp:wrapNone/>
                      <wp:docPr id="718" name="Frame71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248285" cy="175260"/>
                      <wp:effectExtent l="0" t="0" r="0" b="0"/>
                      <wp:wrapNone/>
                      <wp:docPr id="719" name="Frame71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color w:val="231F20"/>
              </w:rPr>
            </w:pPr>
            <w:r>
              <w:rPr>
                <w:color w:val="231F20"/>
              </w:rPr>
              <w:t>​</w:t>
            </w:r>
          </w:p>
        </w:tc>
        <w:tc>
          <w:tcPr>
            <w:tcW w:w="22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192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1" w:type="dxa"/>
            <w:tcBorders/>
            <w:vAlign w:val="center"/>
          </w:tcPr>
          <w:p>
            <w:pPr>
              <w:pStyle w:val="TableContents"/>
              <w:bidi w:val="0"/>
              <w:spacing w:before="0" w:after="1"/>
              <w:ind w:left="0" w:right="0" w:hanging="0"/>
              <w:jc w:val="left"/>
              <w:rPr/>
            </w:pPr>
            <w:r>
              <w:rPr/>
              <w:t>​</w:t>
            </w:r>
          </w:p>
        </w:tc>
      </w:tr>
      <w:tr>
        <w:trPr/>
        <w:tc>
          <w:tcPr>
            <w:tcW w:w="3031" w:type="dxa"/>
            <w:tcBorders/>
            <w:vAlign w:val="center"/>
          </w:tcPr>
          <w:p>
            <w:pPr>
              <w:pStyle w:val="TableContents"/>
              <w:bidi w:val="0"/>
              <w:spacing w:before="0" w:after="1"/>
              <w:ind w:left="0" w:right="0" w:hanging="0"/>
              <w:jc w:val="left"/>
              <w:rPr>
                <w:color w:val="231F20"/>
              </w:rPr>
            </w:pPr>
            <w:r>
              <w:rPr>
                <w:color w:val="231F20"/>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1924" w:type="dxa"/>
            <w:gridSpan w:val="4"/>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031" w:type="dxa"/>
            <w:tcBorders/>
            <w:vAlign w:val="center"/>
          </w:tcPr>
          <w:p>
            <w:pPr>
              <w:pStyle w:val="TableContents"/>
              <w:bidi w:val="0"/>
              <w:spacing w:before="0" w:after="1"/>
              <w:ind w:left="0" w:right="0" w:hanging="0"/>
              <w:jc w:val="left"/>
              <w:rPr>
                <w:color w:val="231F20"/>
              </w:rPr>
            </w:pPr>
            <w:r>
              <w:rPr>
                <w:color w:val="231F20"/>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2026</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2025</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color w:val="231F20"/>
              </w:rPr>
            </w:pPr>
            <w:r>
              <w:rPr>
                <w:color w:val="231F20"/>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91" w:type="dxa"/>
            <w:tcBorders/>
            <w:vAlign w:val="center"/>
          </w:tcPr>
          <w:p>
            <w:pPr>
              <w:pStyle w:val="TableContents"/>
              <w:bidi w:val="0"/>
              <w:spacing w:before="0" w:after="1"/>
              <w:ind w:left="0" w:right="0" w:hanging="0"/>
              <w:jc w:val="left"/>
              <w:rPr>
                <w:color w:val="231F20"/>
              </w:rPr>
            </w:pPr>
            <w:r>
              <w:rPr>
                <w:color w:val="231F20"/>
              </w:rPr>
              <w:t>  ​ ​ ​</w:t>
            </w:r>
          </w:p>
        </w:tc>
      </w:tr>
      <w:tr>
        <w:trPr/>
        <w:tc>
          <w:tcPr>
            <w:tcW w:w="7726"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031" w:type="dxa"/>
            <w:tcBorders/>
            <w:vAlign w:val="center"/>
          </w:tcPr>
          <w:p>
            <w:pPr>
              <w:pStyle w:val="TableContents"/>
              <w:bidi w:val="0"/>
              <w:spacing w:before="0" w:after="1"/>
              <w:ind w:left="0" w:right="0" w:hanging="0"/>
              <w:jc w:val="lef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4499"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Assets</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2,800,371</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2,659,377</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140,994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Cash and due from banks</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334,925</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218" w:type="dxa"/>
            <w:tcBorders/>
            <w:vAlign w:val="center"/>
          </w:tcPr>
          <w:p>
            <w:pPr>
              <w:pStyle w:val="TableContents"/>
              <w:bidi w:val="0"/>
              <w:spacing w:before="0" w:after="1"/>
              <w:ind w:left="0" w:right="0" w:hanging="0"/>
              <w:jc w:val="left"/>
              <w:rPr>
                <w:color w:val="231F20"/>
              </w:rPr>
            </w:pPr>
            <w:r>
              <w:rPr>
                <w:color w:val="231F20"/>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204,232</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130,693</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64.0</w:t>
            </w:r>
          </w:p>
        </w:tc>
        <w:tc>
          <w:tcPr>
            <w:tcW w:w="39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Loans, net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1,883,923</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8"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1,921,949</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(38,026)</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Loans held-for-sale</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63,594</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218" w:type="dxa"/>
            <w:tcBorders/>
            <w:vAlign w:val="center"/>
          </w:tcPr>
          <w:p>
            <w:pPr>
              <w:pStyle w:val="TableContents"/>
              <w:bidi w:val="0"/>
              <w:spacing w:before="0" w:after="1"/>
              <w:ind w:left="0" w:right="0" w:hanging="0"/>
              <w:jc w:val="left"/>
              <w:rPr>
                <w:color w:val="231F20"/>
              </w:rPr>
            </w:pPr>
            <w:r>
              <w:rPr>
                <w:color w:val="231F20"/>
              </w:rPr>
              <w:t>​</w:t>
            </w:r>
          </w:p>
        </w:tc>
        <w:tc>
          <w:tcPr>
            <w:tcW w:w="922" w:type="dxa"/>
            <w:tcBorders/>
            <w:vAlign w:val="center"/>
          </w:tcPr>
          <w:p>
            <w:pPr>
              <w:pStyle w:val="TableContents"/>
              <w:bidi w:val="0"/>
              <w:spacing w:before="0" w:after="1"/>
              <w:ind w:left="0" w:right="0" w:hanging="0"/>
              <w:jc w:val="right"/>
              <w:rPr>
                <w:color w:val="231F20"/>
              </w:rPr>
            </w:pPr>
            <w:r>
              <w:rPr>
                <w:color w:val="231F20"/>
              </w:rPr>
              <w:t>—</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63,594</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100.0</w:t>
            </w:r>
          </w:p>
        </w:tc>
        <w:tc>
          <w:tcPr>
            <w:tcW w:w="39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Investment securities, available for sale</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395,906</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8"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419,406</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(23,500)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Deposits</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2,431,191</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218" w:type="dxa"/>
            <w:tcBorders/>
            <w:vAlign w:val="center"/>
          </w:tcPr>
          <w:p>
            <w:pPr>
              <w:pStyle w:val="TableContents"/>
              <w:bidi w:val="0"/>
              <w:spacing w:before="0" w:after="1"/>
              <w:ind w:left="0" w:right="0" w:hanging="0"/>
              <w:jc w:val="left"/>
              <w:rPr>
                <w:color w:val="231F20"/>
              </w:rPr>
            </w:pPr>
            <w:r>
              <w:rPr>
                <w:color w:val="231F20"/>
              </w:rPr>
              <w:t> </w:t>
            </w:r>
          </w:p>
        </w:tc>
        <w:tc>
          <w:tcPr>
            <w:tcW w:w="922"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2,310,373</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120,818</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5.2</w:t>
            </w:r>
          </w:p>
        </w:tc>
        <w:tc>
          <w:tcPr>
            <w:tcW w:w="39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FHLB advances, long term</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10,000</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8"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10,000</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2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Subordinated notes, net of issuance costs</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24,603</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218" w:type="dxa"/>
            <w:tcBorders/>
            <w:vAlign w:val="center"/>
          </w:tcPr>
          <w:p>
            <w:pPr>
              <w:pStyle w:val="TableContents"/>
              <w:bidi w:val="0"/>
              <w:spacing w:before="0" w:after="1"/>
              <w:ind w:left="0" w:right="0" w:hanging="0"/>
              <w:jc w:val="left"/>
              <w:rPr>
                <w:color w:val="231F20"/>
              </w:rPr>
            </w:pPr>
            <w:r>
              <w:rPr>
                <w:color w:val="231F20"/>
              </w:rPr>
              <w:t>​</w:t>
            </w:r>
          </w:p>
        </w:tc>
        <w:tc>
          <w:tcPr>
            <w:tcW w:w="922"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24,555</w:t>
            </w:r>
          </w:p>
        </w:tc>
        <w:tc>
          <w:tcPr>
            <w:tcW w:w="109" w:type="dxa"/>
            <w:tcBorders/>
            <w:vAlign w:val="center"/>
          </w:tcPr>
          <w:p>
            <w:pPr>
              <w:pStyle w:val="TableContents"/>
              <w:bidi w:val="0"/>
              <w:spacing w:before="0" w:after="1"/>
              <w:ind w:left="0" w:right="0" w:hanging="0"/>
              <w:jc w:val="right"/>
              <w:rPr>
                <w:color w:val="231F20"/>
              </w:rPr>
            </w:pPr>
            <w:r>
              <w:rPr>
                <w:color w:val="231F20"/>
              </w:rPr>
              <w:t>​</w:t>
            </w:r>
          </w:p>
        </w:tc>
        <w:tc>
          <w:tcPr>
            <w:tcW w:w="196" w:type="dxa"/>
            <w:tcBorders/>
            <w:vAlign w:val="center"/>
          </w:tcPr>
          <w:p>
            <w:pPr>
              <w:pStyle w:val="TableContents"/>
              <w:bidi w:val="0"/>
              <w:spacing w:before="0" w:after="1"/>
              <w:ind w:left="0" w:right="0" w:hanging="0"/>
              <w:jc w:val="left"/>
              <w:rPr>
                <w:color w:val="231F20"/>
              </w:rPr>
            </w:pPr>
            <w:r>
              <w:rPr>
                <w:color w:val="231F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48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0.2</w:t>
            </w:r>
          </w:p>
        </w:tc>
        <w:tc>
          <w:tcPr>
            <w:tcW w:w="39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Stockholders’ Equity</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306,628</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218"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284,364</w:t>
            </w:r>
          </w:p>
        </w:tc>
        <w:tc>
          <w:tcPr>
            <w:tcW w:w="109"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19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22,264</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7.8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Assets. </w:t>
      </w:r>
      <w:r>
        <w:rPr>
          <w:rFonts w:ascii="Times New Roman;Times;serif" w:hAnsi="Times New Roman;Times;serif"/>
          <w:sz w:val="20"/>
        </w:rPr>
        <w:t>Our total assets were $2.8 billion at June 30, 2026, an increase of $141.0 million, or 5.3%, from December 31, 2025. The increase was primarily driven by increases of $130.7 million in cash and due from banks and $63.6 million in loans held-for-sale, while loans decreased by $38.0 million and investment securities, available for sale, decreased by $23.5 million during the six months ended June 30,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Cash and due from banks. </w:t>
      </w:r>
      <w:r>
        <w:rPr>
          <w:rFonts w:ascii="Times New Roman;Times;serif" w:hAnsi="Times New Roman;Times;serif"/>
          <w:sz w:val="20"/>
        </w:rPr>
        <w:t>Cash and due from banks increased $130.7 million, or 64.0%, to $334.9 million at June 30, 2026, from $204.2 million at December 31, 2025. The increase was mainly the result of management’s focus on deposit growth during the six  months ended June 30, 2026 combined with repayments of loans and paydowns and maturities of securities during the second quarter which led to higher levels of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Loans. </w:t>
      </w:r>
      <w:r>
        <w:rPr>
          <w:rFonts w:ascii="Times New Roman;Times;serif" w:hAnsi="Times New Roman;Times;serif"/>
          <w:sz w:val="20"/>
        </w:rPr>
        <w:t>The following table sets forth the composition of our loan portfolio by type of loan at the dates indicated.</w:t>
      </w:r>
    </w:p>
    <w:tbl>
      <w:tblPr>
        <w:tblW w:w="7876" w:type="dxa"/>
        <w:jc w:val="left"/>
        <w:tblInd w:w="0" w:type="dxa"/>
        <w:tblLayout w:type="fixed"/>
        <w:tblCellMar>
          <w:top w:w="0" w:type="dxa"/>
          <w:left w:w="0" w:type="dxa"/>
          <w:bottom w:w="0" w:type="dxa"/>
          <w:right w:w="0" w:type="dxa"/>
        </w:tblCellMar>
      </w:tblPr>
      <w:tblGrid>
        <w:gridCol w:w="2626"/>
        <w:gridCol w:w="346"/>
        <w:gridCol w:w="196"/>
        <w:gridCol w:w="826"/>
        <w:gridCol w:w="346"/>
        <w:gridCol w:w="661"/>
        <w:gridCol w:w="346"/>
        <w:gridCol w:w="109"/>
        <w:gridCol w:w="196"/>
        <w:gridCol w:w="826"/>
        <w:gridCol w:w="346"/>
        <w:gridCol w:w="661"/>
        <w:gridCol w:w="39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1667510" cy="175260"/>
                      <wp:effectExtent l="0" t="0" r="0" b="0"/>
                      <wp:wrapNone/>
                      <wp:docPr id="720" name="Frame72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19710" cy="175260"/>
                      <wp:effectExtent l="0" t="0" r="0" b="0"/>
                      <wp:wrapNone/>
                      <wp:docPr id="721" name="Frame7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124460" cy="175260"/>
                      <wp:effectExtent l="0" t="0" r="0" b="0"/>
                      <wp:wrapNone/>
                      <wp:docPr id="722" name="Frame7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524510" cy="175260"/>
                      <wp:effectExtent l="0" t="0" r="0" b="0"/>
                      <wp:wrapNone/>
                      <wp:docPr id="723" name="Frame7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219710" cy="175260"/>
                      <wp:effectExtent l="0" t="0" r="0" b="0"/>
                      <wp:wrapNone/>
                      <wp:docPr id="724" name="Frame7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419735" cy="175260"/>
                      <wp:effectExtent l="0" t="0" r="0" b="0"/>
                      <wp:wrapNone/>
                      <wp:docPr id="725" name="Frame72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19710" cy="175260"/>
                      <wp:effectExtent l="0" t="0" r="0" b="0"/>
                      <wp:wrapNone/>
                      <wp:docPr id="726" name="Frame7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69215" cy="175260"/>
                      <wp:effectExtent l="0" t="0" r="0" b="0"/>
                      <wp:wrapNone/>
                      <wp:docPr id="727" name="Frame7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24460" cy="175260"/>
                      <wp:effectExtent l="0" t="0" r="0" b="0"/>
                      <wp:wrapNone/>
                      <wp:docPr id="728" name="Frame7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524510" cy="175260"/>
                      <wp:effectExtent l="0" t="0" r="0" b="0"/>
                      <wp:wrapNone/>
                      <wp:docPr id="729" name="Frame72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19710" cy="175260"/>
                      <wp:effectExtent l="0" t="0" r="0" b="0"/>
                      <wp:wrapNone/>
                      <wp:docPr id="730" name="Frame7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419735" cy="175260"/>
                      <wp:effectExtent l="0" t="0" r="0" b="0"/>
                      <wp:wrapNone/>
                      <wp:docPr id="731" name="Frame73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48285" cy="175260"/>
                      <wp:effectExtent l="0" t="0" r="0" b="0"/>
                      <wp:wrapNone/>
                      <wp:docPr id="732" name="Frame73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June 30,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9"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w:t>
            </w:r>
          </w:p>
        </w:tc>
        <w:tc>
          <w:tcPr>
            <w:tcW w:w="391"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91" w:type="dxa"/>
            <w:tcBorders/>
            <w:vAlign w:val="center"/>
          </w:tcPr>
          <w:p>
            <w:pPr>
              <w:pStyle w:val="TableContents"/>
              <w:bidi w:val="0"/>
              <w:spacing w:before="0" w:after="1"/>
              <w:ind w:left="0" w:right="0" w:hanging="0"/>
              <w:jc w:val="left"/>
              <w:rPr/>
            </w:pPr>
            <w:r>
              <w:rPr/>
              <w:t>  ​ ​ ​</w:t>
            </w:r>
          </w:p>
        </w:tc>
      </w:tr>
      <w:tr>
        <w:trPr/>
        <w:tc>
          <w:tcPr>
            <w:tcW w:w="787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04"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and industrial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239,463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249,633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1,506,536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78.86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1,480,062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75.89</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Commercial real estate construction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99,594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99,262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Residential real estate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21,432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65,290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Home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7,009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22,618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Consumer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36,228</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33,419</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1,910,262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1,950,284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Allowance for credit losses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(26,339)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(28,335)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loans,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1,883,923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1,921,949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Net loans decreased $38.0 million, or 2.0% to $1.9 billion at June 30, 2026 from December 31, 2025. The decrease in loans was primarily due to $68.4 million of loans transferred to loans held-for-sale and a decrease of $10.2 million in commercial and industrial loans. Commercial and industrial loans decreased $10.2 million, or 4.1%, to $239.5 million at June 30, 2026 from $249.6 million at December 31, 2025. The rest of the portfolio experienced growth within the commercial real estate loans, residential real estate loans, equity lines and in the consumer loans sector. Commercial real estate loans increased $26.5 million, or 1.8% and remained relatively level near $1.5 billion at June 30, 2026 and December 31, 2025. Excluding the effect of the $63.6 million transfer to loans held-for-sale,  residential real estate and home equity loans grew organically by a combined $8.9 million. The Company transferred loans with an aggregate principal balance of $68.4 million from the loan portfolio to loans held-for-sale. At the date of transfer, the loans were recorded as held-for-sale at $63.6 million, net of a valuation allowance of $4.8 million. As of June 30, 2026, the loans held-for-sale portfolio consisted of $44.0 million of residential real estate loans and $19.6 million of home equity loans. Consumer loans increased $2.8 million, or 8.4%, to $36.2 million at June 30, 2026 from $33.4 million at December 31, 2025. The overall diversification within the commercial real estate portfolio continues to provide stability while we remained focused on loan originations to new and existing customers during the six months ended June 30, 2026 as well as our continued commitment to geographic expansion in our market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six months ended June 30, 2026, the trajectory of our loan growth was impacted by unanticipated payoffs aggregating $81.1 million, compared to $28.5 million during the same period last year.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Non-performing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reviews a loan for individual evaluation when it is non-performing or when it is probable at least a portion of the loan will not be collected in accordance with the original terms due to a deterioration in the financial condition of the borrower or the value of the underlying collateral if the loan is collateral dependent. When a loan is determined to be non-performing, the measurement of the loan in the allowance for credit losses is based on the fair value of the collateral for all collateral-dependent loans. Non-accrual loans are loans for which collectability is questionable and, therefore, interest on such loans will no longer be recognized on an accrual basis. All loans that become 90 days or more delinquent are placed on non-accrual status unless the loan is well secured and in the process of collection. When loans are placed on non-accrual status, unpaid accrued interest is fully reversed, and further income is recognized only to the extent received on a cash basis or cost recovery method.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When we acquire real estate as a result of foreclosure, the real estate is classified as real estate owned. The real estate owned is recorded at the lower of carrying amount or fair value, less estimated costs to sell. Soon after acquisition, we order a new appraisal to determine the current market value of the property. Any excess of the recorded value of the loan satisfied over the market value of the property is charged against the allowance for credit losses, or, if the existing allowance is inadequate, charged to expense of the current period. After acquisition, all costs incurred in maintaining the property are expensed. Costs relating to the development and improvement of the property, however, are capitalized to the extent of estimated fair value less estimated costs to sell. Management will consider a modification of loan terms, such as a reduction of the interest rate to below market terms, capitalizing past due interest or extending the maturity date and possibly a partial forgiveness of the principal amount due, when it is deemed appropriate based on individual borrower conditions. Interest income on restructured loans is accrued after the borrower demonstrates the ability to pay under the restructured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terms through a sustained period of repayment performance, which is generally six consecutive months.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sets forth information regarding our non-performing assets. Non-performing loans aggregated approximately $22.2 million at June 30, 2026 as compared to $11.1 million at December 31, 2025.</w:t>
      </w:r>
    </w:p>
    <w:tbl>
      <w:tblPr>
        <w:tblW w:w="6814" w:type="dxa"/>
        <w:jc w:val="left"/>
        <w:tblInd w:w="0" w:type="dxa"/>
        <w:tblLayout w:type="fixed"/>
        <w:tblCellMar>
          <w:top w:w="0" w:type="dxa"/>
          <w:left w:w="0" w:type="dxa"/>
          <w:bottom w:w="0" w:type="dxa"/>
          <w:right w:w="0" w:type="dxa"/>
        </w:tblCellMar>
      </w:tblPr>
      <w:tblGrid>
        <w:gridCol w:w="3376"/>
        <w:gridCol w:w="346"/>
        <w:gridCol w:w="243"/>
        <w:gridCol w:w="747"/>
        <w:gridCol w:w="346"/>
        <w:gridCol w:w="335"/>
        <w:gridCol w:w="1030"/>
        <w:gridCol w:w="39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143760" cy="175260"/>
                      <wp:effectExtent l="0" t="0" r="0" b="0"/>
                      <wp:wrapNone/>
                      <wp:docPr id="733" name="Frame733"/>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219710" cy="175260"/>
                      <wp:effectExtent l="0" t="0" r="0" b="0"/>
                      <wp:wrapNone/>
                      <wp:docPr id="734" name="Frame7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154305" cy="175260"/>
                      <wp:effectExtent l="0" t="0" r="0" b="0"/>
                      <wp:wrapNone/>
                      <wp:docPr id="735" name="Frame73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474345" cy="175260"/>
                      <wp:effectExtent l="0" t="0" r="0" b="0"/>
                      <wp:wrapNone/>
                      <wp:docPr id="736" name="Frame736"/>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19710" cy="175260"/>
                      <wp:effectExtent l="0" t="0" r="0" b="0"/>
                      <wp:wrapNone/>
                      <wp:docPr id="737" name="Frame7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212725" cy="175260"/>
                      <wp:effectExtent l="0" t="0" r="0" b="0"/>
                      <wp:wrapNone/>
                      <wp:docPr id="738" name="Frame73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654050" cy="175260"/>
                      <wp:effectExtent l="0" t="0" r="0" b="0"/>
                      <wp:wrapNone/>
                      <wp:docPr id="739" name="Frame739"/>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48285" cy="175260"/>
                      <wp:effectExtent l="0" t="0" r="0" b="0"/>
                      <wp:wrapNone/>
                      <wp:docPr id="740" name="Frame74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June 30, </w:t>
            </w:r>
          </w:p>
        </w:tc>
        <w:tc>
          <w:tcPr>
            <w:tcW w:w="346"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w:t>
            </w:r>
          </w:p>
        </w:tc>
        <w:tc>
          <w:tcPr>
            <w:tcW w:w="391" w:type="dxa"/>
            <w:tcBorders/>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6814"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center"/>
              <w:rPr/>
            </w:pPr>
            <w:r>
              <w:rPr/>
              <w:t>​</w:t>
            </w:r>
          </w:p>
        </w:tc>
        <w:tc>
          <w:tcPr>
            <w:tcW w:w="3092"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Non-accrual loans: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1030"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and industrial</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2,388</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1030"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1,577</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real estate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15,618</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8,690</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real estate construction</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7"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Residential real estate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7"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Home equity</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833</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844</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Consumer</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non-accrual loans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18,839</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11,112</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Accruing loans 90 days or more past due: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7"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and industrial</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150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18</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real estate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3,171</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real estate construction</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7"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Residential real estate</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7"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Home equity</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7"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Consumer</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accruing loans 90 days or more past due</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3,321</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 </w:t>
            </w:r>
          </w:p>
        </w:tc>
        <w:tc>
          <w:tcPr>
            <w:tcW w:w="10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18</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non-performing loans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22,160</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11,130</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Other real estate owned</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7" w:type="dxa"/>
            <w:tcBorders/>
            <w:vAlign w:val="center"/>
          </w:tcPr>
          <w:p>
            <w:pPr>
              <w:pStyle w:val="TableContents"/>
              <w:bidi w:val="0"/>
              <w:spacing w:before="0" w:after="1"/>
              <w:ind w:left="0" w:right="0" w:hanging="0"/>
              <w:jc w:val="righ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Other non-performing assets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 </w:t>
            </w:r>
          </w:p>
        </w:tc>
        <w:tc>
          <w:tcPr>
            <w:tcW w:w="10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olor w:val="231F20"/>
              </w:rPr>
            </w:pPr>
            <w:r>
              <w:rPr>
                <w:color w:val="231F20"/>
              </w:rPr>
              <w:t>—</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non-performing assets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22,160</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10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11,130</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Ratios: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7"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33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shd w:fill="CCEEFF" w:val="clear"/>
            <w:vAlign w:val="center"/>
          </w:tcPr>
          <w:p>
            <w:pPr>
              <w:pStyle w:val="TableContents"/>
              <w:bidi w:val="0"/>
              <w:spacing w:before="0" w:after="1"/>
              <w:ind w:left="0" w:right="0" w:hanging="0"/>
              <w:jc w:val="right"/>
              <w:rPr>
                <w:color w:val="231F20"/>
              </w:rPr>
            </w:pPr>
            <w:r>
              <w:rPr>
                <w:color w:val="231F20"/>
              </w:rPr>
              <w:t>  ​</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non-performing loans to total loans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1.16</w:t>
            </w:r>
          </w:p>
        </w:tc>
        <w:tc>
          <w:tcPr>
            <w:tcW w:w="34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  </w:t>
            </w:r>
          </w:p>
        </w:tc>
        <w:tc>
          <w:tcPr>
            <w:tcW w:w="335"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0.57</w:t>
            </w:r>
          </w:p>
        </w:tc>
        <w:tc>
          <w:tcPr>
            <w:tcW w:w="39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  </w:t>
            </w:r>
          </w:p>
        </w:tc>
      </w:tr>
      <w:tr>
        <w:trPr/>
        <w:tc>
          <w:tcPr>
            <w:tcW w:w="337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non-performing loans to total assets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3"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0.79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  </w:t>
            </w:r>
          </w:p>
        </w:tc>
        <w:tc>
          <w:tcPr>
            <w:tcW w:w="335"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1030"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0.42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  </w:t>
            </w:r>
          </w:p>
        </w:tc>
      </w:tr>
      <w:tr>
        <w:trPr/>
        <w:tc>
          <w:tcPr>
            <w:tcW w:w="337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non-performing assets to total assets</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3" w:type="dxa"/>
            <w:tcBorders/>
            <w:vAlign w:val="center"/>
          </w:tcPr>
          <w:p>
            <w:pPr>
              <w:pStyle w:val="TableContents"/>
              <w:bidi w:val="0"/>
              <w:spacing w:before="0" w:after="1"/>
              <w:ind w:left="0" w:right="0" w:hanging="0"/>
              <w:jc w:val="left"/>
              <w:rPr>
                <w:color w:val="231F20"/>
              </w:rPr>
            </w:pPr>
            <w:r>
              <w:rPr>
                <w:color w:val="231F20"/>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0.79</w:t>
            </w:r>
          </w:p>
        </w:tc>
        <w:tc>
          <w:tcPr>
            <w:tcW w:w="34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  </w:t>
            </w:r>
          </w:p>
        </w:tc>
        <w:tc>
          <w:tcPr>
            <w:tcW w:w="335" w:type="dxa"/>
            <w:tcBorders/>
            <w:vAlign w:val="center"/>
          </w:tcPr>
          <w:p>
            <w:pPr>
              <w:pStyle w:val="TableContents"/>
              <w:bidi w:val="0"/>
              <w:spacing w:before="0" w:after="1"/>
              <w:ind w:left="0" w:right="0" w:hanging="0"/>
              <w:jc w:val="left"/>
              <w:rPr>
                <w:color w:val="231F20"/>
              </w:rPr>
            </w:pPr>
            <w:r>
              <w:rPr>
                <w:color w:val="231F20"/>
              </w:rPr>
              <w:t> </w:t>
            </w:r>
          </w:p>
        </w:tc>
        <w:tc>
          <w:tcPr>
            <w:tcW w:w="1030"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0.42</w:t>
            </w:r>
          </w:p>
        </w:tc>
        <w:tc>
          <w:tcPr>
            <w:tcW w:w="39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  </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Non-performing loans at June 30, 2026 totaled $22.2 million and consisted of $15.6 million related to commercial real estate loans, $2.4 million associated with commercial and industrial loans, and $833 thousand related to home equity loans. Although there was an increase in the commercial and industrial segment of the portfolio, the level of non-performing loans was still mainly related to the commercial real estate portfolio. The commercial real estate non-performing loans were mainly the result of a $14.2 million commercial real estate participation loan that experienced payment disruption during the six months ended June 30, 2026 due to bankruptcy at the parent company, offset partially by settlement of a previously reported participation loan for an office complex. The settlement reduced non-performing loans by approximately $6.0 million during the second quarter of 2026. Total accruing loans 90 days or more past due represented $3.3 million of loans as of June 30, 2026, compared to $18 thousand at December 31, 2025. The increase in accruing loans 90 days or more past due was related primarily to a commercial real estate participation loan that experienced an administrative delay in the processing of an extension/modification during the six months ended June 30, 2026 due to divorce proceedings, and remains a performing loan and in accrual status at June 30, 2026.</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Led by the increase in non-accrual loans and loans 90 days past due, non-performing assets increased $11.0 million, or 99.1%, to $22.2 million, or 0.79% of total assets, at June 30, 2026 from $11.1 million, or 0.42% of total assets, at December 31, 2025. Management continues to focus on credit quality and attention to assets with potential concerns.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From time to time, as part of our loss mitigation strategy, we may renegotiate loan terms based on the economic and legal reasons related to the borrower’s financial difficulties. There were no loans modified due to financial difficulties during the six months ended June 30, 2026.</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Classified Assets.</w:t>
      </w:r>
      <w:r>
        <w:rPr>
          <w:rFonts w:ascii="Times New Roman;Times;serif" w:hAnsi="Times New Roman;Times;serif"/>
          <w:sz w:val="20"/>
        </w:rPr>
        <w:t xml:space="preserve">  Federal regulations provide that loans and other assets of lesser quality should be classified as “substandard”, “doubtful” or “loss” assets. An asset is considered “substandard” if it is inadequately protected by the current net worth and paying capacity of the obligor or of the collateral pledged, if any. “Substandard” assets include those characterized by the “distinct possibility” that we will sustain “some loss” if the deficiencies are not corrected. Assets classified as “doubtful” have all of the weaknesses inherent in those classified “substandard,” with the added characteristic that the weaknesses present make “collection or liquidation in full,” on the basis of currently existing facts, conditions, and values, “highly questionable and improbable.” Assets classified as “loss” are those considered “uncollectible” and of such little value that their continuance as assets without the establishment of a specific loss reserve is not warranted. We designate an asset as “special mention” if the asset has a potential weakness that warrants management’s close attention.</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classified assets of all portfolio types at the dates indicated:</w:t>
      </w:r>
    </w:p>
    <w:p>
      <w:pPr>
        <w:pStyle w:val="TextBody"/>
        <w:bidi w:val="0"/>
        <w:spacing w:before="0" w:after="240"/>
        <w:ind w:left="0" w:right="0" w:firstLine="360"/>
        <w:jc w:val="both"/>
        <w:rPr/>
      </w:pPr>
      <w:r>
        <w:rPr/>
        <w:t>​</w:t>
      </w:r>
    </w:p>
    <w:tbl>
      <w:tblPr>
        <w:tblW w:w="4701" w:type="dxa"/>
        <w:jc w:val="left"/>
        <w:tblInd w:w="0" w:type="dxa"/>
        <w:tblLayout w:type="fixed"/>
        <w:tblCellMar>
          <w:top w:w="0" w:type="dxa"/>
          <w:left w:w="0" w:type="dxa"/>
          <w:bottom w:w="0" w:type="dxa"/>
          <w:right w:w="0" w:type="dxa"/>
        </w:tblCellMar>
      </w:tblPr>
      <w:tblGrid>
        <w:gridCol w:w="1846"/>
        <w:gridCol w:w="346"/>
        <w:gridCol w:w="243"/>
        <w:gridCol w:w="747"/>
        <w:gridCol w:w="109"/>
        <w:gridCol w:w="306"/>
        <w:gridCol w:w="1104"/>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1172210" cy="175260"/>
                      <wp:effectExtent l="0" t="0" r="0" b="0"/>
                      <wp:wrapNone/>
                      <wp:docPr id="741" name="Frame74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219710" cy="175260"/>
                      <wp:effectExtent l="0" t="0" r="0" b="0"/>
                      <wp:wrapNone/>
                      <wp:docPr id="742" name="Frame7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54305" cy="175260"/>
                      <wp:effectExtent l="0" t="0" r="0" b="0"/>
                      <wp:wrapNone/>
                      <wp:docPr id="743" name="Frame743"/>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474345" cy="175260"/>
                      <wp:effectExtent l="0" t="0" r="0" b="0"/>
                      <wp:wrapNone/>
                      <wp:docPr id="744" name="Frame744"/>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69215" cy="175260"/>
                      <wp:effectExtent l="0" t="0" r="0" b="0"/>
                      <wp:wrapNone/>
                      <wp:docPr id="745" name="Frame7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194310" cy="175260"/>
                      <wp:effectExtent l="0" t="0" r="0" b="0"/>
                      <wp:wrapNone/>
                      <wp:docPr id="746" name="Frame746"/>
                      <a:graphic xmlns:a="http://schemas.openxmlformats.org/drawingml/2006/main">
                        <a:graphicData uri="http://schemas.microsoft.com/office/word/2010/wordprocessingShape">
                          <wps:wsp>
                            <wps:cNvSpPr txBox="1"/>
                            <wps:spPr>
                              <a:xfrm>
                                <a:off x="0" y="0"/>
                                <a:ext cx="19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701040" cy="175260"/>
                      <wp:effectExtent l="0" t="0" r="0" b="0"/>
                      <wp:wrapNone/>
                      <wp:docPr id="747" name="Frame747"/>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June 30, </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w: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0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0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Classification of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w:t>
            </w:r>
          </w:p>
        </w:tc>
        <w:tc>
          <w:tcPr>
            <w:tcW w:w="1104" w:type="dxa"/>
            <w:tcBorders/>
            <w:shd w:fill="CCEEFF" w:val="clear"/>
            <w:vAlign w:val="center"/>
          </w:tcPr>
          <w:p>
            <w:pPr>
              <w:pStyle w:val="TableContents"/>
              <w:bidi w:val="0"/>
              <w:spacing w:before="0" w:after="1"/>
              <w:ind w:left="0" w:right="0" w:hanging="0"/>
              <w:jc w:val="right"/>
              <w:rPr/>
            </w:pPr>
            <w:r>
              <w:rPr/>
              <w:t>​</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Substandard</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66,448</w:t>
            </w:r>
          </w:p>
        </w:tc>
        <w:tc>
          <w:tcPr>
            <w:tcW w:w="109" w:type="dxa"/>
            <w:tcBorders/>
            <w:vAlign w:val="center"/>
          </w:tcPr>
          <w:p>
            <w:pPr>
              <w:pStyle w:val="TableContents"/>
              <w:bidi w:val="0"/>
              <w:spacing w:before="0" w:after="1"/>
              <w:ind w:left="0" w:right="0" w:hanging="0"/>
              <w:jc w:val="left"/>
              <w:rPr/>
            </w:pPr>
            <w:r>
              <w:rPr/>
              <w:t>​</w:t>
            </w:r>
          </w:p>
        </w:tc>
        <w:tc>
          <w:tcPr>
            <w:tcW w:w="3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73,706</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Doubtful</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shd w:fill="CCEEFF" w:val="clear"/>
            <w:vAlign w:val="center"/>
          </w:tcPr>
          <w:p>
            <w:pPr>
              <w:pStyle w:val="TableContents"/>
              <w:bidi w:val="0"/>
              <w:spacing w:before="0" w:after="1"/>
              <w:ind w:left="0" w:right="0" w:hanging="0"/>
              <w:jc w:val="left"/>
              <w:rPr/>
            </w:pPr>
            <w:r>
              <w:rPr/>
              <w:t> </w:t>
            </w:r>
          </w:p>
        </w:tc>
        <w:tc>
          <w:tcPr>
            <w:tcW w:w="1104" w:type="dxa"/>
            <w:tcBorders/>
            <w:shd w:fill="CCEEFF" w:val="clear"/>
            <w:vAlign w:val="center"/>
          </w:tcPr>
          <w:p>
            <w:pPr>
              <w:pStyle w:val="TableContents"/>
              <w:bidi w:val="0"/>
              <w:spacing w:before="0" w:after="1"/>
              <w:ind w:left="0" w:right="0" w:hanging="0"/>
              <w:jc w:val="right"/>
              <w:rPr/>
            </w:pPr>
            <w:r>
              <w:rPr/>
              <w:t>—</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Classified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66,448</w:t>
            </w:r>
          </w:p>
        </w:tc>
        <w:tc>
          <w:tcPr>
            <w:tcW w:w="109" w:type="dxa"/>
            <w:tcBorders/>
            <w:shd w:fill="CCEEFF" w:val="clear"/>
            <w:vAlign w:val="center"/>
          </w:tcPr>
          <w:p>
            <w:pPr>
              <w:pStyle w:val="TableContents"/>
              <w:bidi w:val="0"/>
              <w:spacing w:before="0" w:after="1"/>
              <w:ind w:left="0" w:right="0" w:hanging="0"/>
              <w:jc w:val="left"/>
              <w:rPr/>
            </w:pPr>
            <w:r>
              <w:rPr/>
              <w:t>​</w:t>
            </w:r>
          </w:p>
        </w:tc>
        <w:tc>
          <w:tcPr>
            <w:tcW w:w="3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73,706</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Special Mention</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43,054</w:t>
            </w:r>
          </w:p>
        </w:tc>
        <w:tc>
          <w:tcPr>
            <w:tcW w:w="109" w:type="dxa"/>
            <w:tcBorders/>
            <w:vAlign w:val="center"/>
          </w:tcPr>
          <w:p>
            <w:pPr>
              <w:pStyle w:val="TableContents"/>
              <w:bidi w:val="0"/>
              <w:spacing w:before="0" w:after="1"/>
              <w:ind w:left="0" w:right="0" w:hanging="0"/>
              <w:jc w:val="left"/>
              <w:rPr/>
            </w:pPr>
            <w:r>
              <w:rPr/>
              <w:t>​</w:t>
            </w:r>
          </w:p>
        </w:tc>
        <w:tc>
          <w:tcPr>
            <w:tcW w:w="3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58,422</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the basis of management’s review of our assets, we have classified $66.4 million of our assets at June 30, 2026 as substandard compared to $73.7 million at December 31, 2025, with the decrease due to a combination of risk ratings resulting from certain trends, including delinquencies within the loan portfolio, and the sale or chargeoff of certain loans. There were no doubtful assets as of June 30, 2026 or December 31, 2025. We designated $43.1 million of our assets at June 30, 2026 as special mention compared to $58.4 million designated as special mention at December 31,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Allowance for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1, 2023, the Company adopted ASU 2016-13 (Topic 326), which replaced the incurred loss methodology with CECL for financial instruments measured at amortized cost and other commitments to extend credit. The allowance for credit losses is a valuation allowance for management’s estimate of expected credit losses in the loan portfolio. The process to determine expected credit losses utilizes analytic tools and judgement and is reviewed on a quarterly basis. When management is reasonably certain that a loan balance is not fully collectable, an analysis is completed and a specific reserve may be established or a full or partial charge off could be recorded against the allowance. Subsequent recoveries, if any, are credited to the allowance. Management estimates the allowance balance via a quantitative analysis which considers available information from internal and external sources related to past loan loss and prepayment experience and current conditions, as well as the incorporation of reasonable and supportable forecasts. Management evaluates a variety of factors including available published economic information in arriving at its forecast. Expected credit losses are estimated over the contractual term of the loans, adjusted for expected prepayments when appropriate. Also included in the allowance for credit losses are qualitative reserves that are expected, but, in management’s assessment, may not be adequately represented in the quantitative analysis or the forecasts described above. Factors may include changes in lending policies and procedures, size and composition of the portfolio, experience and depth of management and the effect of external factors such as competition, legal and regulatory requirements, among others. The allowance is available for any loan that, in management’s judgment, should be charged off. Although management uses the best information available, the level of the allowance for credit losses remains an estimate, which is subject to significant judgment and short-term change. Various regulatory agencies, as an integral part of their examination process, periodically review the Bank’s allowance for credit losses. Such agencies may require the Company to make additional provisions for credit losses based upon information available to them at the time of their examination.  Furthermore, the majority of the Bank’s loans are secured by real estate in the State of New York. Accordingly, the collectability of a substantial portion of the carrying value of the Bank’s loan portfolio is susceptible to changes in local market conditions and any adverse economic conditions. Future adjustments to the provision for credit losses and allowance for credit losses may be necessary due to economic, operating, regulatory and other conditions beyond the Company’s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presented below, the allowance for credit losses decreased by $2.1 million, or 7.3%, to $26.3 million, or 1.38% of total loans at June 30, 2026, from $28.4 million, or 1.48% of total loans at June 30, 2025. The decrease in the allowance was due primarily to slower loan growth during 2026 combined with lower reserves associated with the composition of loans closed in 2026 and a $633 thousand reduction related to loans transferred to loans held-for-sale during the first six months of 2026. The six months ended June 30, 2026 also included net chargeoffs of approximately $524 thousand.</w:t>
      </w:r>
    </w:p>
    <w:tbl>
      <w:tblPr>
        <w:tblW w:w="8145" w:type="dxa"/>
        <w:jc w:val="left"/>
        <w:tblInd w:w="0" w:type="dxa"/>
        <w:tblLayout w:type="fixed"/>
        <w:tblCellMar>
          <w:top w:w="0" w:type="dxa"/>
          <w:left w:w="0" w:type="dxa"/>
          <w:bottom w:w="0" w:type="dxa"/>
          <w:right w:w="0" w:type="dxa"/>
        </w:tblCellMar>
      </w:tblPr>
      <w:tblGrid>
        <w:gridCol w:w="4981"/>
        <w:gridCol w:w="346"/>
        <w:gridCol w:w="241"/>
        <w:gridCol w:w="778"/>
        <w:gridCol w:w="426"/>
        <w:gridCol w:w="241"/>
        <w:gridCol w:w="741"/>
        <w:gridCol w:w="391"/>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3162935" cy="175260"/>
                      <wp:effectExtent l="0" t="0" r="0" b="0"/>
                      <wp:wrapNone/>
                      <wp:docPr id="748" name="Frame748"/>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219710" cy="175260"/>
                      <wp:effectExtent l="0" t="0" r="0" b="0"/>
                      <wp:wrapNone/>
                      <wp:docPr id="749" name="Frame7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153035" cy="175260"/>
                      <wp:effectExtent l="0" t="0" r="0" b="0"/>
                      <wp:wrapNone/>
                      <wp:docPr id="750" name="Frame75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494030" cy="175260"/>
                      <wp:effectExtent l="0" t="0" r="0" b="0"/>
                      <wp:wrapNone/>
                      <wp:docPr id="751" name="Frame751"/>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270510" cy="175260"/>
                      <wp:effectExtent l="0" t="0" r="0" b="0"/>
                      <wp:wrapNone/>
                      <wp:docPr id="752" name="Frame752"/>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153035" cy="175260"/>
                      <wp:effectExtent l="0" t="0" r="0" b="0"/>
                      <wp:wrapNone/>
                      <wp:docPr id="753" name="Frame75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470535" cy="175260"/>
                      <wp:effectExtent l="0" t="0" r="0" b="0"/>
                      <wp:wrapNone/>
                      <wp:docPr id="754" name="Frame754"/>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248285" cy="175260"/>
                      <wp:effectExtent l="0" t="0" r="0" b="0"/>
                      <wp:wrapNone/>
                      <wp:docPr id="755" name="Frame75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At or for the Six Months Ended </w:t>
            </w:r>
          </w:p>
        </w:tc>
        <w:tc>
          <w:tcPr>
            <w:tcW w:w="391" w:type="dxa"/>
            <w:tcBorders/>
            <w:vAlign w:val="center"/>
          </w:tcPr>
          <w:p>
            <w:pPr>
              <w:pStyle w:val="TableContents"/>
              <w:bidi w:val="0"/>
              <w:spacing w:before="0" w:after="1"/>
              <w:ind w:left="0" w:right="0" w:hanging="0"/>
              <w:jc w:val="left"/>
              <w:rPr/>
            </w:pPr>
            <w:r>
              <w:rPr/>
              <w:t>​</w:t>
            </w:r>
          </w:p>
        </w:tc>
      </w:tr>
      <w:tr>
        <w:trPr/>
        <w:tc>
          <w:tcPr>
            <w:tcW w:w="49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498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6" w:type="dxa"/>
            <w:tcBorders/>
            <w:vAlign w:val="center"/>
          </w:tcPr>
          <w:p>
            <w:pPr>
              <w:pStyle w:val="TableContents"/>
              <w:bidi w:val="0"/>
              <w:spacing w:before="0" w:after="1"/>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814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98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pPr>
            <w:r>
              <w:rPr/>
              <w:t>​</w:t>
            </w:r>
          </w:p>
        </w:tc>
        <w:tc>
          <w:tcPr>
            <w:tcW w:w="2818"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Balance at beginning of year</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28,335</w:t>
            </w:r>
          </w:p>
        </w:tc>
        <w:tc>
          <w:tcPr>
            <w:tcW w:w="4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26,077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Charge-offs: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4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and industrial</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44</w:t>
            </w:r>
          </w:p>
        </w:tc>
        <w:tc>
          <w:tcPr>
            <w:tcW w:w="4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197</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real estate</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535</w:t>
            </w:r>
          </w:p>
        </w:tc>
        <w:tc>
          <w:tcPr>
            <w:tcW w:w="42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41"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 </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real estate construction</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4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4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Residential real estate</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78" w:type="dxa"/>
            <w:tcBorders/>
            <w:vAlign w:val="center"/>
          </w:tcPr>
          <w:p>
            <w:pPr>
              <w:pStyle w:val="TableContents"/>
              <w:bidi w:val="0"/>
              <w:spacing w:before="0" w:after="1"/>
              <w:ind w:left="0" w:right="0" w:hanging="0"/>
              <w:jc w:val="right"/>
              <w:rPr>
                <w:color w:val="231F20"/>
              </w:rPr>
            </w:pPr>
            <w:r>
              <w:rPr>
                <w:color w:val="231F20"/>
              </w:rPr>
              <w:t>—</w:t>
            </w:r>
          </w:p>
        </w:tc>
        <w:tc>
          <w:tcPr>
            <w:tcW w:w="42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41"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 </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Home equity</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4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Consumer</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w:t>
            </w:r>
          </w:p>
        </w:tc>
        <w:tc>
          <w:tcPr>
            <w:tcW w:w="42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 </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charge-offs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580</w:t>
            </w:r>
          </w:p>
        </w:tc>
        <w:tc>
          <w:tcPr>
            <w:tcW w:w="4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200</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Recoveries:</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42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and industrial</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31</w:t>
            </w:r>
          </w:p>
        </w:tc>
        <w:tc>
          <w:tcPr>
            <w:tcW w:w="4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21</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real estate</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78" w:type="dxa"/>
            <w:tcBorders/>
            <w:vAlign w:val="center"/>
          </w:tcPr>
          <w:p>
            <w:pPr>
              <w:pStyle w:val="TableContents"/>
              <w:bidi w:val="0"/>
              <w:spacing w:before="0" w:after="1"/>
              <w:ind w:left="0" w:right="0" w:hanging="0"/>
              <w:jc w:val="right"/>
              <w:rPr>
                <w:color w:val="231F20"/>
              </w:rPr>
            </w:pPr>
            <w:r>
              <w:rPr>
                <w:color w:val="231F20"/>
              </w:rPr>
              <w:t>—</w:t>
            </w:r>
          </w:p>
        </w:tc>
        <w:tc>
          <w:tcPr>
            <w:tcW w:w="42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41"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 </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Commercial real estate construction</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4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4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Residential real estate</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78" w:type="dxa"/>
            <w:tcBorders/>
            <w:vAlign w:val="center"/>
          </w:tcPr>
          <w:p>
            <w:pPr>
              <w:pStyle w:val="TableContents"/>
              <w:bidi w:val="0"/>
              <w:spacing w:before="0" w:after="1"/>
              <w:ind w:left="0" w:right="0" w:hanging="0"/>
              <w:jc w:val="right"/>
              <w:rPr>
                <w:color w:val="231F20"/>
              </w:rPr>
            </w:pPr>
            <w:r>
              <w:rPr>
                <w:color w:val="231F20"/>
              </w:rPr>
              <w:t>—</w:t>
            </w:r>
          </w:p>
        </w:tc>
        <w:tc>
          <w:tcPr>
            <w:tcW w:w="42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41"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 </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Home equity</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8"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4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41" w:type="dxa"/>
            <w:tcBorders/>
            <w:shd w:fill="CCEEFF" w:val="clear"/>
            <w:vAlign w:val="center"/>
          </w:tcPr>
          <w:p>
            <w:pPr>
              <w:pStyle w:val="TableContents"/>
              <w:bidi w:val="0"/>
              <w:spacing w:before="0" w:after="1"/>
              <w:ind w:left="0" w:right="0" w:hanging="0"/>
              <w:jc w:val="right"/>
              <w:rPr>
                <w:color w:val="231F20"/>
              </w:rPr>
            </w:pPr>
            <w:r>
              <w:rPr>
                <w:color w:val="231F20"/>
              </w:rPr>
              <w:t>—</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Consumer</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25</w:t>
            </w:r>
          </w:p>
        </w:tc>
        <w:tc>
          <w:tcPr>
            <w:tcW w:w="42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color w:val="231F20"/>
              </w:rPr>
            </w:pPr>
            <w:r>
              <w:rPr>
                <w:color w:val="231F20"/>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31</w:t>
            </w:r>
          </w:p>
        </w:tc>
        <w:tc>
          <w:tcPr>
            <w:tcW w:w="391" w:type="dxa"/>
            <w:tcBorders/>
            <w:vAlign w:val="center"/>
          </w:tcPr>
          <w:p>
            <w:pPr>
              <w:pStyle w:val="TableContents"/>
              <w:bidi w:val="0"/>
              <w:spacing w:before="0" w:after="1"/>
              <w:ind w:left="0" w:right="0" w:hanging="0"/>
              <w:jc w:val="left"/>
              <w:rPr>
                <w:color w:val="231F20"/>
              </w:rPr>
            </w:pPr>
            <w:r>
              <w:rPr>
                <w:color w:val="231F20"/>
              </w:rPr>
              <w:t> </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Total recoveries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56</w:t>
            </w:r>
          </w:p>
        </w:tc>
        <w:tc>
          <w:tcPr>
            <w:tcW w:w="4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52</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Net charge-offs</w:t>
            </w:r>
          </w:p>
        </w:tc>
        <w:tc>
          <w:tcPr>
            <w:tcW w:w="34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524</w:t>
            </w:r>
          </w:p>
        </w:tc>
        <w:tc>
          <w:tcPr>
            <w:tcW w:w="426" w:type="dxa"/>
            <w:tcBorders/>
            <w:vAlign w:val="center"/>
          </w:tcPr>
          <w:p>
            <w:pPr>
              <w:pStyle w:val="TableContents"/>
              <w:bidi w:val="0"/>
              <w:spacing w:before="0" w:after="1"/>
              <w:ind w:left="0" w:right="0" w:hanging="0"/>
              <w:jc w:val="left"/>
              <w:rPr>
                <w:color w:val="231F20"/>
              </w:rPr>
            </w:pPr>
            <w:r>
              <w:rPr>
                <w:color w:val="231F20"/>
              </w:rPr>
              <w:t> </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148</w:t>
            </w:r>
          </w:p>
        </w:tc>
        <w:tc>
          <w:tcPr>
            <w:tcW w:w="391" w:type="dxa"/>
            <w:tcBorders/>
            <w:vAlign w:val="center"/>
          </w:tcPr>
          <w:p>
            <w:pPr>
              <w:pStyle w:val="TableContents"/>
              <w:bidi w:val="0"/>
              <w:spacing w:before="0" w:after="1"/>
              <w:ind w:left="0" w:right="0" w:hanging="0"/>
              <w:jc w:val="left"/>
              <w:rPr>
                <w:color w:val="231F20"/>
              </w:rPr>
            </w:pPr>
            <w:r>
              <w:rPr>
                <w:color w:val="231F20"/>
              </w:rPr>
              <w:t> </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Provision (credit) for credit losses</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(1,472)</w:t>
            </w:r>
          </w:p>
        </w:tc>
        <w:tc>
          <w:tcPr>
            <w:tcW w:w="426"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231F20"/>
              </w:rPr>
            </w:pPr>
            <w:r>
              <w:rPr>
                <w:color w:val="231F20"/>
              </w:rPr>
              <w:t>​</w:t>
            </w:r>
          </w:p>
        </w:tc>
        <w:tc>
          <w:tcPr>
            <w:tcW w:w="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2,479</w:t>
            </w:r>
          </w:p>
        </w:tc>
        <w:tc>
          <w:tcPr>
            <w:tcW w:w="391" w:type="dxa"/>
            <w:tcBorders/>
            <w:shd w:fill="CCEEFF" w:val="clear"/>
            <w:vAlign w:val="center"/>
          </w:tcPr>
          <w:p>
            <w:pPr>
              <w:pStyle w:val="TableContents"/>
              <w:bidi w:val="0"/>
              <w:spacing w:before="0" w:after="1"/>
              <w:ind w:left="0" w:right="0" w:hanging="0"/>
              <w:jc w:val="left"/>
              <w:rPr>
                <w:color w:val="231F20"/>
              </w:rPr>
            </w:pPr>
            <w:r>
              <w:rPr>
                <w:color w:val="231F20"/>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Balance at end of period</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26,339</w:t>
            </w:r>
          </w:p>
        </w:tc>
        <w:tc>
          <w:tcPr>
            <w:tcW w:w="426" w:type="dxa"/>
            <w:tcBorders/>
            <w:vAlign w:val="center"/>
          </w:tcPr>
          <w:p>
            <w:pPr>
              <w:pStyle w:val="TableContents"/>
              <w:bidi w:val="0"/>
              <w:spacing w:before="0" w:after="1"/>
              <w:ind w:left="0" w:right="0" w:hanging="0"/>
              <w:jc w:val="left"/>
              <w:rPr>
                <w:color w:val="231F20"/>
              </w:rPr>
            </w:pPr>
            <w:r>
              <w:rPr>
                <w:color w:val="231F20"/>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7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28,408</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Ratios:</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4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Net charge-offs (recoveries) to average loans outstanding</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1" w:type="dxa"/>
            <w:tcBorders/>
            <w:vAlign w:val="center"/>
          </w:tcPr>
          <w:p>
            <w:pPr>
              <w:pStyle w:val="TableContents"/>
              <w:bidi w:val="0"/>
              <w:spacing w:before="0" w:after="1"/>
              <w:ind w:left="0" w:right="0" w:hanging="0"/>
              <w:jc w:val="left"/>
              <w:rPr>
                <w:color w:val="231F20"/>
              </w:rPr>
            </w:pPr>
            <w:r>
              <w:rPr>
                <w:color w:val="231F20"/>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0.03</w:t>
            </w:r>
          </w:p>
        </w:tc>
        <w:tc>
          <w:tcPr>
            <w:tcW w:w="42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241" w:type="dxa"/>
            <w:tcBorders/>
            <w:vAlign w:val="center"/>
          </w:tcPr>
          <w:p>
            <w:pPr>
              <w:pStyle w:val="TableContents"/>
              <w:bidi w:val="0"/>
              <w:spacing w:before="0" w:after="1"/>
              <w:ind w:left="0" w:right="0" w:hanging="0"/>
              <w:jc w:val="left"/>
              <w:rPr>
                <w:color w:val="231F20"/>
              </w:rPr>
            </w:pPr>
            <w:r>
              <w:rPr>
                <w:color w:val="231F20"/>
              </w:rPr>
              <w:t> </w:t>
            </w:r>
          </w:p>
        </w:tc>
        <w:tc>
          <w:tcPr>
            <w:tcW w:w="741"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Allowance for credit losses to non-performing loans at end of period</w:t>
            </w:r>
          </w:p>
        </w:tc>
        <w:tc>
          <w:tcPr>
            <w:tcW w:w="346" w:type="dxa"/>
            <w:tcBorders/>
            <w:shd w:fill="CCEEFF" w:val="clear"/>
            <w:vAlign w:val="center"/>
          </w:tcPr>
          <w:p>
            <w:pPr>
              <w:pStyle w:val="TableContents"/>
              <w:bidi w:val="0"/>
              <w:spacing w:before="0" w:after="1"/>
              <w:ind w:left="0" w:right="0" w:hanging="0"/>
              <w:jc w:val="left"/>
              <w:rPr>
                <w:color w:val="231F20"/>
              </w:rPr>
            </w:pPr>
            <w:r>
              <w:rPr>
                <w:color w:val="231F20"/>
              </w:rPr>
              <w:t>​</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118.86</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241" w:type="dxa"/>
            <w:tcBorders/>
            <w:shd w:fill="CCEEFF" w:val="clear"/>
            <w:vAlign w:val="center"/>
          </w:tcPr>
          <w:p>
            <w:pPr>
              <w:pStyle w:val="TableContents"/>
              <w:bidi w:val="0"/>
              <w:spacing w:before="0" w:after="1"/>
              <w:ind w:left="0" w:right="0" w:hanging="0"/>
              <w:jc w:val="left"/>
              <w:rPr>
                <w:color w:val="231F20"/>
              </w:rPr>
            </w:pPr>
            <w:r>
              <w:rPr>
                <w:color w:val="231F20"/>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242.51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Allowance for credit losses to total loans at end of period</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1" w:type="dxa"/>
            <w:tcBorders/>
            <w:vAlign w:val="center"/>
          </w:tcPr>
          <w:p>
            <w:pPr>
              <w:pStyle w:val="TableContents"/>
              <w:bidi w:val="0"/>
              <w:spacing w:before="0" w:after="1"/>
              <w:ind w:left="0" w:right="0" w:hanging="0"/>
              <w:jc w:val="left"/>
              <w:rPr>
                <w:color w:val="231F20"/>
              </w:rPr>
            </w:pPr>
            <w:r>
              <w:rPr>
                <w:color w:val="231F20"/>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1.38</w:t>
            </w:r>
          </w:p>
        </w:tc>
        <w:tc>
          <w:tcPr>
            <w:tcW w:w="426"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c>
          <w:tcPr>
            <w:tcW w:w="241" w:type="dxa"/>
            <w:tcBorders/>
            <w:vAlign w:val="center"/>
          </w:tcPr>
          <w:p>
            <w:pPr>
              <w:pStyle w:val="TableContents"/>
              <w:bidi w:val="0"/>
              <w:spacing w:before="0" w:after="1"/>
              <w:ind w:left="0" w:right="0" w:hanging="0"/>
              <w:jc w:val="left"/>
              <w:rPr>
                <w:color w:val="231F20"/>
              </w:rPr>
            </w:pPr>
            <w:r>
              <w:rPr>
                <w:color w:val="231F20"/>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color w:val="231F20"/>
                <w:sz w:val="18"/>
              </w:rPr>
            </w:pPr>
            <w:r>
              <w:rPr>
                <w:rFonts w:ascii="Times New Roman;Times;serif" w:hAnsi="Times New Roman;Times;serif"/>
                <w:color w:val="231F20"/>
                <w:sz w:val="18"/>
              </w:rPr>
              <w:t>1.48</w:t>
            </w:r>
          </w:p>
        </w:tc>
        <w:tc>
          <w:tcPr>
            <w:tcW w:w="391" w:type="dxa"/>
            <w:tcBorders/>
            <w:vAlign w:val="center"/>
          </w:tcPr>
          <w:p>
            <w:pPr>
              <w:pStyle w:val="TableContents"/>
              <w:bidi w:val="0"/>
              <w:spacing w:before="0" w:after="1"/>
              <w:ind w:left="0" w:right="0" w:hanging="0"/>
              <w:jc w:val="left"/>
              <w:rPr>
                <w:rFonts w:ascii="Times New Roman;Times;serif" w:hAnsi="Times New Roman;Times;serif"/>
                <w:color w:val="231F20"/>
                <w:sz w:val="18"/>
              </w:rPr>
            </w:pPr>
            <w:r>
              <w:rPr>
                <w:rFonts w:ascii="Times New Roman;Times;serif" w:hAnsi="Times New Roman;Times;serif"/>
                <w:color w:val="231F20"/>
                <w:sz w:val="18"/>
              </w:rPr>
              <w:t>%</w:t>
            </w:r>
          </w:p>
        </w:tc>
      </w:tr>
      <w:tr>
        <w:trPr/>
        <w:tc>
          <w:tcPr>
            <w:tcW w:w="4981" w:type="dxa"/>
            <w:tcBorders/>
            <w:vAlign w:val="center"/>
          </w:tcPr>
          <w:p>
            <w:pPr>
              <w:pStyle w:val="TableContents"/>
              <w:bidi w:val="0"/>
              <w:spacing w:before="0" w:after="1"/>
              <w:ind w:left="0" w:right="0" w:hanging="0"/>
              <w:jc w:val="left"/>
              <w:rPr>
                <w:color w:val="231F20"/>
              </w:rPr>
            </w:pPr>
            <w:r>
              <w:rPr>
                <w:color w:val="231F20"/>
              </w:rPr>
              <w:t>​</w:t>
            </w:r>
          </w:p>
        </w:tc>
        <w:tc>
          <w:tcPr>
            <w:tcW w:w="346" w:type="dxa"/>
            <w:tcBorders/>
            <w:vAlign w:val="center"/>
          </w:tcPr>
          <w:p>
            <w:pPr>
              <w:pStyle w:val="TableContents"/>
              <w:bidi w:val="0"/>
              <w:spacing w:before="0" w:after="1"/>
              <w:ind w:left="0" w:right="0" w:hanging="0"/>
              <w:jc w:val="left"/>
              <w:rPr>
                <w:color w:val="231F20"/>
              </w:rPr>
            </w:pPr>
            <w:r>
              <w:rPr>
                <w:color w:val="231F20"/>
              </w:rPr>
              <w:t>​</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78" w:type="dxa"/>
            <w:tcBorders/>
            <w:vAlign w:val="center"/>
          </w:tcPr>
          <w:p>
            <w:pPr>
              <w:pStyle w:val="TableContents"/>
              <w:bidi w:val="0"/>
              <w:spacing w:before="0" w:after="1"/>
              <w:ind w:left="0" w:right="0" w:hanging="0"/>
              <w:jc w:val="right"/>
              <w:rPr>
                <w:color w:val="231F20"/>
              </w:rPr>
            </w:pPr>
            <w:r>
              <w:rPr>
                <w:color w:val="231F20"/>
              </w:rPr>
              <w:t>​</w:t>
            </w:r>
          </w:p>
        </w:tc>
        <w:tc>
          <w:tcPr>
            <w:tcW w:w="426" w:type="dxa"/>
            <w:tcBorders/>
            <w:vAlign w:val="center"/>
          </w:tcPr>
          <w:p>
            <w:pPr>
              <w:pStyle w:val="TableContents"/>
              <w:bidi w:val="0"/>
              <w:spacing w:before="0" w:after="1"/>
              <w:ind w:left="0" w:right="0" w:hanging="0"/>
              <w:jc w:val="left"/>
              <w:rPr>
                <w:color w:val="231F20"/>
              </w:rPr>
            </w:pPr>
            <w:r>
              <w:rPr>
                <w:color w:val="231F20"/>
              </w:rPr>
              <w:t>​</w:t>
            </w:r>
          </w:p>
        </w:tc>
        <w:tc>
          <w:tcPr>
            <w:tcW w:w="241" w:type="dxa"/>
            <w:tcBorders/>
            <w:vAlign w:val="center"/>
          </w:tcPr>
          <w:p>
            <w:pPr>
              <w:pStyle w:val="TableContents"/>
              <w:bidi w:val="0"/>
              <w:spacing w:before="0" w:after="1"/>
              <w:ind w:left="0" w:right="0" w:hanging="0"/>
              <w:jc w:val="left"/>
              <w:rPr>
                <w:color w:val="231F20"/>
              </w:rPr>
            </w:pPr>
            <w:r>
              <w:rPr>
                <w:color w:val="231F20"/>
              </w:rPr>
              <w:t>​</w:t>
            </w:r>
          </w:p>
        </w:tc>
        <w:tc>
          <w:tcPr>
            <w:tcW w:w="741" w:type="dxa"/>
            <w:tcBorders/>
            <w:vAlign w:val="center"/>
          </w:tcPr>
          <w:p>
            <w:pPr>
              <w:pStyle w:val="TableContents"/>
              <w:bidi w:val="0"/>
              <w:spacing w:before="0" w:after="1"/>
              <w:ind w:left="0" w:right="0" w:hanging="0"/>
              <w:jc w:val="right"/>
              <w:rPr>
                <w:color w:val="231F20"/>
              </w:rPr>
            </w:pPr>
            <w:r>
              <w:rPr>
                <w:color w:val="231F20"/>
              </w:rPr>
              <w:t>​</w:t>
            </w:r>
          </w:p>
        </w:tc>
        <w:tc>
          <w:tcPr>
            <w:tcW w:w="391" w:type="dxa"/>
            <w:tcBorders/>
            <w:vAlign w:val="center"/>
          </w:tcPr>
          <w:p>
            <w:pPr>
              <w:pStyle w:val="TableContents"/>
              <w:bidi w:val="0"/>
              <w:spacing w:before="0" w:after="1"/>
              <w:ind w:left="0" w:right="0" w:hanging="0"/>
              <w:jc w:val="left"/>
              <w:rPr>
                <w:color w:val="231F20"/>
              </w:rPr>
            </w:pPr>
            <w:r>
              <w:rPr>
                <w:color w:val="231F20"/>
              </w:rPr>
              <w:t>​</w:t>
            </w:r>
          </w:p>
        </w:tc>
      </w:tr>
    </w:tbl>
    <w:p>
      <w:pPr>
        <w:pStyle w:val="TextBody"/>
        <w:bidi w:val="0"/>
        <w:spacing w:before="0" w:after="160"/>
        <w:ind w:left="0" w:right="0" w:hanging="0"/>
        <w:jc w:val="both"/>
        <w:rPr>
          <w:rFonts w:ascii="Times New Roman;Times;serif" w:hAnsi="Times New Roman;Times;serif"/>
          <w:b w:val="false"/>
          <w:sz w:val="20"/>
        </w:rPr>
      </w:pPr>
      <w:r>
        <w:rPr>
          <w:rFonts w:ascii="Times New Roman;Times;serif" w:hAnsi="Times New Roman;Times;serif"/>
          <w:b w:val="false"/>
          <w:sz w:val="20"/>
        </w:rPr>
        <w:t>For the six months ended June 30, 2026, the Company recognized net charge-offs of $524 thousand, or 0.03%. Commercial real estate loans reflected a net charge-offs of $535 thousand associated with the settlement and payoff of certain loans. For the period, the commercial and industrial segment of the loan portfolio recognized a net charge-off amount of $13 thousand, or a net charge-off ratio of 0.03%. The consumer loan portfolio experienced net recoveries during the six month period of approximately $24 thousand related to collection of certain loans. For the six months ended June 30, 2026 and 2025, respectively, no other category of loans had a net charge-off ratio which exceeded 0.01% either individually, or in the aggregate.</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Investment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estimated fair value of our available-for-sale securities portfolio at the dates indicated.</w:t>
      </w:r>
    </w:p>
    <w:tbl>
      <w:tblPr>
        <w:tblW w:w="8221" w:type="dxa"/>
        <w:jc w:val="left"/>
        <w:tblInd w:w="0" w:type="dxa"/>
        <w:tblLayout w:type="fixed"/>
        <w:tblCellMar>
          <w:top w:w="0" w:type="dxa"/>
          <w:left w:w="0" w:type="dxa"/>
          <w:bottom w:w="0" w:type="dxa"/>
          <w:right w:w="0" w:type="dxa"/>
        </w:tblCellMar>
      </w:tblPr>
      <w:tblGrid>
        <w:gridCol w:w="3421"/>
        <w:gridCol w:w="346"/>
        <w:gridCol w:w="196"/>
        <w:gridCol w:w="691"/>
        <w:gridCol w:w="346"/>
        <w:gridCol w:w="196"/>
        <w:gridCol w:w="691"/>
        <w:gridCol w:w="109"/>
        <w:gridCol w:w="196"/>
        <w:gridCol w:w="691"/>
        <w:gridCol w:w="346"/>
        <w:gridCol w:w="196"/>
        <w:gridCol w:w="79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2172335" cy="175260"/>
                      <wp:effectExtent l="0" t="0" r="0" b="0"/>
                      <wp:wrapNone/>
                      <wp:docPr id="756" name="Frame756"/>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219710" cy="175260"/>
                      <wp:effectExtent l="0" t="0" r="0" b="0"/>
                      <wp:wrapNone/>
                      <wp:docPr id="757" name="Frame7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24460" cy="175260"/>
                      <wp:effectExtent l="0" t="0" r="0" b="0"/>
                      <wp:wrapNone/>
                      <wp:docPr id="758" name="Frame7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438785" cy="175260"/>
                      <wp:effectExtent l="0" t="0" r="0" b="0"/>
                      <wp:wrapNone/>
                      <wp:docPr id="759" name="Frame7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19710" cy="175260"/>
                      <wp:effectExtent l="0" t="0" r="0" b="0"/>
                      <wp:wrapNone/>
                      <wp:docPr id="760" name="Frame7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124460" cy="175260"/>
                      <wp:effectExtent l="0" t="0" r="0" b="0"/>
                      <wp:wrapNone/>
                      <wp:docPr id="761" name="Frame7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438785" cy="175260"/>
                      <wp:effectExtent l="0" t="0" r="0" b="0"/>
                      <wp:wrapNone/>
                      <wp:docPr id="762" name="Frame7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69215" cy="175260"/>
                      <wp:effectExtent l="0" t="0" r="0" b="0"/>
                      <wp:wrapNone/>
                      <wp:docPr id="763" name="Frame7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24460" cy="175260"/>
                      <wp:effectExtent l="0" t="0" r="0" b="0"/>
                      <wp:wrapNone/>
                      <wp:docPr id="764" name="Frame7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438785" cy="175260"/>
                      <wp:effectExtent l="0" t="0" r="0" b="0"/>
                      <wp:wrapNone/>
                      <wp:docPr id="765" name="Frame7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19710" cy="175260"/>
                      <wp:effectExtent l="0" t="0" r="0" b="0"/>
                      <wp:wrapNone/>
                      <wp:docPr id="766" name="Frame7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124460" cy="175260"/>
                      <wp:effectExtent l="0" t="0" r="0" b="0"/>
                      <wp:wrapNone/>
                      <wp:docPr id="767" name="Frame7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505460" cy="175260"/>
                      <wp:effectExtent l="0" t="0" r="0" b="0"/>
                      <wp:wrapNone/>
                      <wp:docPr id="768" name="Frame76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color w:val="231F20"/>
              </w:rPr>
            </w:pPr>
            <w:r>
              <w:rPr>
                <w:color w:val="231F20"/>
              </w:rPr>
              <w:t>​</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June 30, 2026</w:t>
            </w:r>
          </w:p>
        </w:tc>
        <w:tc>
          <w:tcPr>
            <w:tcW w:w="109" w:type="dxa"/>
            <w:tcBorders/>
            <w:vAlign w:val="center"/>
          </w:tcPr>
          <w:p>
            <w:pPr>
              <w:pStyle w:val="TableContents"/>
              <w:bidi w:val="0"/>
              <w:spacing w:before="0" w:after="1"/>
              <w:ind w:left="0" w:right="0" w:hanging="0"/>
              <w:jc w:val="center"/>
              <w:rPr>
                <w:color w:val="231F20"/>
              </w:rPr>
            </w:pPr>
            <w:r>
              <w:rPr>
                <w:color w:val="231F20"/>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December 31, 2025</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822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4454" w:type="dxa"/>
            <w:gridSpan w:val="1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Available for sale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government agencies and treasuries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63,915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57,513</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61,570</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Mortgage-backed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272,379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234,380</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287,128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251,825</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22,240</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23,276</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Obligations of states and political subdivisions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91,140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81,773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92,357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82,735</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450,934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395,906</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472,097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419,406</w:t>
            </w:r>
          </w:p>
        </w:tc>
      </w:tr>
    </w:tbl>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b w:val="false"/>
          <w:sz w:val="20"/>
        </w:rPr>
      </w:pPr>
      <w:r>
        <w:rPr>
          <w:rFonts w:ascii="Times New Roman;Times;serif" w:hAnsi="Times New Roman;Times;serif"/>
          <w:b w:val="false"/>
          <w:sz w:val="20"/>
        </w:rPr>
        <w:t>Available for sale securities decreased $23.5 million, or 5.6%, to $395.9 million at June 30, 2026 primarily due to investments repayments and maturities combined with continued decline for all investment categories due to normal amortization and cash flow during the six month period ended June 30, 2026. We did not have held-to-maturity securities at June 30, 2026 or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Deposits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total deposit account balances, by account type, at the dates indicated:</w:t>
      </w:r>
    </w:p>
    <w:p>
      <w:pPr>
        <w:pStyle w:val="TextBody"/>
        <w:bidi w:val="0"/>
        <w:spacing w:before="0" w:after="240"/>
        <w:ind w:left="0" w:right="0" w:firstLine="360"/>
        <w:jc w:val="both"/>
        <w:rPr/>
      </w:pPr>
      <w:r>
        <w:rPr/>
        <w:t>​</w:t>
      </w:r>
    </w:p>
    <w:tbl>
      <w:tblPr>
        <w:tblW w:w="10145" w:type="dxa"/>
        <w:jc w:val="left"/>
        <w:tblInd w:w="0" w:type="dxa"/>
        <w:tblLayout w:type="fixed"/>
        <w:tblCellMar>
          <w:top w:w="0" w:type="dxa"/>
          <w:left w:w="0" w:type="dxa"/>
          <w:bottom w:w="0" w:type="dxa"/>
          <w:right w:w="0" w:type="dxa"/>
        </w:tblCellMar>
      </w:tblPr>
      <w:tblGrid>
        <w:gridCol w:w="2761"/>
        <w:gridCol w:w="346"/>
        <w:gridCol w:w="196"/>
        <w:gridCol w:w="826"/>
        <w:gridCol w:w="346"/>
        <w:gridCol w:w="661"/>
        <w:gridCol w:w="346"/>
        <w:gridCol w:w="721"/>
        <w:gridCol w:w="346"/>
        <w:gridCol w:w="109"/>
        <w:gridCol w:w="196"/>
        <w:gridCol w:w="826"/>
        <w:gridCol w:w="346"/>
        <w:gridCol w:w="661"/>
        <w:gridCol w:w="346"/>
        <w:gridCol w:w="721"/>
        <w:gridCol w:w="39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1753235" cy="175260"/>
                      <wp:effectExtent l="0" t="0" r="0" b="0"/>
                      <wp:wrapNone/>
                      <wp:docPr id="769" name="Frame76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219710" cy="175260"/>
                      <wp:effectExtent l="0" t="0" r="0" b="0"/>
                      <wp:wrapNone/>
                      <wp:docPr id="770" name="Frame7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124460" cy="175260"/>
                      <wp:effectExtent l="0" t="0" r="0" b="0"/>
                      <wp:wrapNone/>
                      <wp:docPr id="771" name="Frame7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524510" cy="175260"/>
                      <wp:effectExtent l="0" t="0" r="0" b="0"/>
                      <wp:wrapNone/>
                      <wp:docPr id="772" name="Frame77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19710" cy="175260"/>
                      <wp:effectExtent l="0" t="0" r="0" b="0"/>
                      <wp:wrapNone/>
                      <wp:docPr id="773" name="Frame7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419735" cy="175260"/>
                      <wp:effectExtent l="0" t="0" r="0" b="0"/>
                      <wp:wrapNone/>
                      <wp:docPr id="774" name="Frame77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219710" cy="175260"/>
                      <wp:effectExtent l="0" t="0" r="0" b="0"/>
                      <wp:wrapNone/>
                      <wp:docPr id="775" name="Frame7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457835" cy="175260"/>
                      <wp:effectExtent l="0" t="0" r="0" b="0"/>
                      <wp:wrapNone/>
                      <wp:docPr id="776" name="Frame7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19710" cy="175260"/>
                      <wp:effectExtent l="0" t="0" r="0" b="0"/>
                      <wp:wrapNone/>
                      <wp:docPr id="777" name="Frame7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69215" cy="175260"/>
                      <wp:effectExtent l="0" t="0" r="0" b="0"/>
                      <wp:wrapNone/>
                      <wp:docPr id="778" name="Frame7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124460" cy="175260"/>
                      <wp:effectExtent l="0" t="0" r="0" b="0"/>
                      <wp:wrapNone/>
                      <wp:docPr id="779" name="Frame7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524510" cy="175260"/>
                      <wp:effectExtent l="0" t="0" r="0" b="0"/>
                      <wp:wrapNone/>
                      <wp:docPr id="780" name="Frame78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219710" cy="175260"/>
                      <wp:effectExtent l="0" t="0" r="0" b="0"/>
                      <wp:wrapNone/>
                      <wp:docPr id="781" name="Frame7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419735" cy="175260"/>
                      <wp:effectExtent l="0" t="0" r="0" b="0"/>
                      <wp:wrapNone/>
                      <wp:docPr id="782" name="Frame78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219710" cy="175260"/>
                      <wp:effectExtent l="0" t="0" r="0" b="0"/>
                      <wp:wrapNone/>
                      <wp:docPr id="783" name="Frame7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457835" cy="175260"/>
                      <wp:effectExtent l="0" t="0" r="0" b="0"/>
                      <wp:wrapNone/>
                      <wp:docPr id="784" name="Frame78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48285" cy="175260"/>
                      <wp:effectExtent l="0" t="0" r="0" b="0"/>
                      <wp:wrapNone/>
                      <wp:docPr id="785" name="Frame78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96"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June 30, 2026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96"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At December 31, 2025</w:t>
            </w:r>
          </w:p>
        </w:tc>
        <w:tc>
          <w:tcPr>
            <w:tcW w:w="391" w:type="dxa"/>
            <w:tcBorders/>
            <w:vAlign w:val="center"/>
          </w:tcPr>
          <w:p>
            <w:pPr>
              <w:pStyle w:val="TableContents"/>
              <w:bidi w:val="0"/>
              <w:spacing w:before="0" w:after="1"/>
              <w:ind w:left="0" w:right="0" w:hanging="0"/>
              <w:jc w:val="left"/>
              <w:rPr>
                <w:color w:val="231F20"/>
              </w:rPr>
            </w:pPr>
            <w:r>
              <w:rPr>
                <w:color w:val="231F20"/>
              </w:rPr>
              <w:t>​</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61"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91" w:type="dxa"/>
            <w:tcBorders/>
            <w:vAlign w:val="center"/>
          </w:tcPr>
          <w:p>
            <w:pPr>
              <w:pStyle w:val="TableContents"/>
              <w:bidi w:val="0"/>
              <w:spacing w:before="0" w:after="1"/>
              <w:ind w:left="0" w:right="0" w:hanging="0"/>
              <w:jc w:val="left"/>
              <w:rPr/>
            </w:pPr>
            <w:r>
              <w:rPr/>
              <w:t>  ​ ​ ​</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46"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91" w:type="dxa"/>
            <w:tcBorders/>
            <w:vAlign w:val="center"/>
          </w:tcPr>
          <w:p>
            <w:pPr>
              <w:pStyle w:val="TableContents"/>
              <w:bidi w:val="0"/>
              <w:spacing w:before="0" w:after="1"/>
              <w:ind w:left="0" w:right="0" w:hanging="0"/>
              <w:jc w:val="left"/>
              <w:rPr/>
            </w:pPr>
            <w:r>
              <w:rPr/>
              <w:t>​</w:t>
            </w:r>
          </w:p>
        </w:tc>
      </w:tr>
      <w:tr>
        <w:trPr/>
        <w:tc>
          <w:tcPr>
            <w:tcW w:w="1014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038" w:type="dxa"/>
            <w:gridSpan w:val="1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Noninterest-bearing demand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793,908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725,656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31.41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bearing demand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490,746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419,604</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255,135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646,688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855,385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359,415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Certificates of deposit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36,017</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159,010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2,431,191</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2,310,373</w:t>
            </w:r>
          </w:p>
        </w:tc>
        <w:tc>
          <w:tcPr>
            <w:tcW w:w="34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bl>
    <w:p>
      <w:pPr>
        <w:pStyle w:val="TextBody"/>
        <w:bidi w:val="0"/>
        <w:spacing w:before="0" w:after="240"/>
        <w:ind w:left="0" w:right="0" w:firstLine="360"/>
        <w:jc w:val="both"/>
        <w:rPr/>
      </w:pPr>
      <w:r>
        <w:rPr/>
        <w:t>​</w:t>
      </w:r>
    </w:p>
    <w:p>
      <w:pPr>
        <w:pStyle w:val="TextBody"/>
        <w:bidi w:val="0"/>
        <w:spacing w:before="0" w:after="120"/>
        <w:ind w:left="0" w:right="0" w:hanging="0"/>
        <w:jc w:val="both"/>
        <w:rPr>
          <w:rFonts w:ascii="Times New Roman;Times;serif" w:hAnsi="Times New Roman;Times;serif"/>
          <w:b w:val="false"/>
          <w:color w:val="231F20"/>
          <w:sz w:val="20"/>
        </w:rPr>
      </w:pPr>
      <w:r>
        <w:rPr>
          <w:rFonts w:ascii="Times New Roman;Times;serif" w:hAnsi="Times New Roman;Times;serif"/>
          <w:b w:val="false"/>
          <w:color w:val="231F20"/>
          <w:sz w:val="20"/>
        </w:rPr>
        <w:t>Total deposits increased $120.8 million, or 5.2%, to $2.4 billion at June 30, 2026 from $2.3 billion at December 31, 2025 driven by continued deposit growth focused on commercial transaction accounts during the first six months of 2026. This growth allows for continued stability and strength of liquidity levels for the Bank. Non-interest-bearing demand deposits increased $68.3 million due to normal business activity and continued focus on transactional accounts during the first six months of 2026. Interest bearing demand deposits experienced a $71.1 million, or 17.0%, increase while money market deposits decreased $391.6 million, and savings deposits increased by $496.0 million during the first six months of 2026 primarily related to our continued strategic focus on business account activity and a shift in certain customer accounts from money market accounts to savings accounts during the first six month period in 2026. At June 30, 2026, our core deposits (which includes all deposits except for certificates of deposit) totaled $2.4 billion, or 98.5% of our total deposits. Certificates of deposit decreased by $123.0 million, or 77.3%, mainly from non-renewals of brokered deposits during the six months ended June 30, 2026. We did not have any brokered deposits (excluding reciprocal deposits obtained through the Certificate Deposit Account Registry Service (CDARS) and Insured Cash Sweep (ICS) networks) at June 30, 2026. We had approximately $125.0 million of brokered deposits (excluding reciprocal deposits obtained through the Certificate Deposit Account Registry Service (CDARS) and Insured Cash Sweep (ICS) networks) at December 31, 2025. This decrease represents a continued strategic initiative to reduce short term brokered deposits as a result of increased core deposits and allow for replacement of maturing brokered deposits with transactional customer deposits with lower interest expense. Our reciprocal deposits obtained through the CDARS and ICS networks totaled $144.5 million at June 30, 2026 and the CDARS and ICS deposits totaled $101.8 million at December 31, 2025. Uninsured deposits, net of fully collateralized municipal relationships, remained stable and represent approximately 52% of total deposits as of June 30, 2026 and 46% of total deposits as of December 31, 2025.</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Borrowings</w:t>
      </w:r>
    </w:p>
    <w:p>
      <w:pPr>
        <w:pStyle w:val="TextBody"/>
        <w:bidi w:val="0"/>
        <w:spacing w:before="0" w:after="120"/>
        <w:ind w:left="0" w:right="0" w:hanging="0"/>
        <w:jc w:val="both"/>
        <w:rPr>
          <w:rFonts w:ascii="Times New Roman;Times;serif" w:hAnsi="Times New Roman;Times;serif"/>
          <w:b w:val="false"/>
          <w:sz w:val="20"/>
        </w:rPr>
      </w:pPr>
      <w:r>
        <w:rPr>
          <w:rFonts w:ascii="Times New Roman;Times;serif" w:hAnsi="Times New Roman;Times;serif"/>
          <w:b w:val="false"/>
          <w:sz w:val="20"/>
        </w:rPr>
        <w:t>Our borrowings consist of both short-term and long-term borrowings and provide us with one of our sources of funding. Maintaining available borrowing capacity provides us with a contingent source of liquidity.</w:t>
      </w:r>
    </w:p>
    <w:p>
      <w:pPr>
        <w:pStyle w:val="TextBody"/>
        <w:bidi w:val="0"/>
        <w:spacing w:before="0" w:after="120"/>
        <w:ind w:left="0" w:right="0" w:hanging="0"/>
        <w:jc w:val="both"/>
        <w:rPr>
          <w:rFonts w:ascii="Times New Roman;Times;serif" w:hAnsi="Times New Roman;Times;serif"/>
          <w:b w:val="false"/>
          <w:sz w:val="20"/>
        </w:rPr>
      </w:pPr>
      <w:r>
        <w:rPr>
          <w:rFonts w:ascii="Times New Roman;Times;serif" w:hAnsi="Times New Roman;Times;serif"/>
          <w:b w:val="false"/>
          <w:sz w:val="20"/>
        </w:rPr>
        <w:t>Total borrowings from the Federal Home Loan Bank of New York were $10.0 million at June 30, 2026 and December 31, 2025 as deposit growth exceeded loan growth during the period. This level balance represents the continued focus by management to reduce borrowings and the related interest expense by using lower-cost deposits for funding. We have the unused capacity to borrow an additional $597.0 million from the Federal Home Loan Bank of New York as of June 30, 2026.</w:t>
      </w:r>
    </w:p>
    <w:p>
      <w:pPr>
        <w:pStyle w:val="TextBody"/>
        <w:bidi w:val="0"/>
        <w:spacing w:before="0" w:after="120"/>
        <w:ind w:left="0" w:right="0" w:hanging="0"/>
        <w:jc w:val="both"/>
        <w:rPr>
          <w:rFonts w:ascii="Times New Roman;Times;serif" w:hAnsi="Times New Roman;Times;serif"/>
          <w:b w:val="false"/>
          <w:sz w:val="20"/>
        </w:rPr>
      </w:pPr>
      <w:r>
        <w:rPr>
          <w:rFonts w:ascii="Times New Roman;Times;serif" w:hAnsi="Times New Roman;Times;serif"/>
          <w:b w:val="false"/>
          <w:sz w:val="20"/>
        </w:rPr>
        <w:t>In September 2025, we issued $25.0 million in aggregate principal amount of fixed to floating subordinated notes (the “2025 Notes”) to certain institutional investors. The 2025 Notes are non-callable for five years, have a stated maturity of September 30, 2035, and bear interest at a fixed rate of 6.50% per year until September 30, 2030. From September 30, 2030 to the maturity date or early redemption date, the interest rate will reset quarterly to a level equal to the then current three-month SOFR plus 320.5 basis points, payable quarterly in arrears. A portion of these notes was used to redeem the September 2020 subordinated notes.</w:t>
      </w:r>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Stockholders’ Equity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Stockholders’ equity increased $22.3 million, or 7.8%, to $306.6 million at </w:t>
      </w:r>
      <w:r>
        <w:rPr>
          <w:rFonts w:ascii="Times New Roman;Times;serif" w:hAnsi="Times New Roman;Times;serif"/>
          <w:color w:val="231F20"/>
          <w:sz w:val="20"/>
        </w:rPr>
        <w:t>June 30</w:t>
      </w:r>
      <w:r>
        <w:rPr>
          <w:rFonts w:ascii="Times New Roman;Times;serif" w:hAnsi="Times New Roman;Times;serif"/>
          <w:sz w:val="20"/>
        </w:rPr>
        <w:t>, 2026 from $284.4 million at December 31, 2025. The increase was due to the combination of $24.9 million in net income, a $3.6 million increase in surplus and a decrease in unrealized gains of approximately $1.4 million on the market value of investment securities within the Company’s equity as accumulated other comprehensive income (loss) (“AOCI”), net of taxes during the first six months of 2026, offset by dividends paid of $4.8 million during the six months ended June 30, 2026. The increase of $3.6 million in surplus was primarily due to a liability-to-equity reclassification of equity awards in the amount of $2.3 million during the six months ended June 30, 2026.</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Average Balance Sheets and Related Yields and Rates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present average balance sheet information, interest income, interest expense and the corresponding average yields earned and rates paid for the three and six month periods ended June 30, 2026 and 2025.  No tax equivalent yield adjustments have been made, as the effects would be immaterial. The average balances are daily averages for loans, as presented. Interest income on loans includes the effects of discount accretion and net deferred loan origination costs accounted for as yield adjustments. Average deferred loan fees totaled $4.7 million and $4.9 million for the three months ended June 30, 2026 and June 30, 2025, respectively. Average deferred loan fees totaled $4.7 million and $4.9 million for the six months ended June 30, 2026 and 2025, respectively.  </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57"/>
        <w:gridCol w:w="346"/>
        <w:gridCol w:w="196"/>
        <w:gridCol w:w="826"/>
        <w:gridCol w:w="346"/>
        <w:gridCol w:w="196"/>
        <w:gridCol w:w="601"/>
        <w:gridCol w:w="346"/>
        <w:gridCol w:w="823"/>
        <w:gridCol w:w="346"/>
        <w:gridCol w:w="109"/>
        <w:gridCol w:w="196"/>
        <w:gridCol w:w="826"/>
        <w:gridCol w:w="346"/>
        <w:gridCol w:w="196"/>
        <w:gridCol w:w="601"/>
        <w:gridCol w:w="346"/>
        <w:gridCol w:w="809"/>
        <w:gridCol w:w="393"/>
      </w:tblGrid>
      <w:tr>
        <w:trPr/>
        <w:tc>
          <w:tcPr>
            <w:tcW w:w="2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1496695" cy="175260"/>
                      <wp:effectExtent l="0" t="0" r="0" b="0"/>
                      <wp:wrapNone/>
                      <wp:docPr id="786" name="Frame786"/>
                      <a:graphic xmlns:a="http://schemas.openxmlformats.org/drawingml/2006/main">
                        <a:graphicData uri="http://schemas.microsoft.com/office/word/2010/wordprocessingShape">
                          <wps:wsp>
                            <wps:cNvSpPr txBox="1"/>
                            <wps:spPr>
                              <a:xfrm>
                                <a:off x="0" y="0"/>
                                <a:ext cx="149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219710" cy="175260"/>
                      <wp:effectExtent l="0" t="0" r="0" b="0"/>
                      <wp:wrapNone/>
                      <wp:docPr id="787" name="Frame7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124460" cy="175260"/>
                      <wp:effectExtent l="0" t="0" r="0" b="0"/>
                      <wp:wrapNone/>
                      <wp:docPr id="788" name="Frame7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524510" cy="175260"/>
                      <wp:effectExtent l="0" t="0" r="0" b="0"/>
                      <wp:wrapNone/>
                      <wp:docPr id="789" name="Frame78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219710" cy="175260"/>
                      <wp:effectExtent l="0" t="0" r="0" b="0"/>
                      <wp:wrapNone/>
                      <wp:docPr id="790" name="Frame7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124460" cy="175260"/>
                      <wp:effectExtent l="0" t="0" r="0" b="0"/>
                      <wp:wrapNone/>
                      <wp:docPr id="791" name="Frame7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381635" cy="175260"/>
                      <wp:effectExtent l="0" t="0" r="0" b="0"/>
                      <wp:wrapNone/>
                      <wp:docPr id="792" name="Frame79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219710" cy="175260"/>
                      <wp:effectExtent l="0" t="0" r="0" b="0"/>
                      <wp:wrapNone/>
                      <wp:docPr id="793" name="Frame7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522605" cy="175260"/>
                      <wp:effectExtent l="0" t="0" r="0" b="0"/>
                      <wp:wrapNone/>
                      <wp:docPr id="794" name="Frame794"/>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219710" cy="175260"/>
                      <wp:effectExtent l="0" t="0" r="0" b="0"/>
                      <wp:wrapNone/>
                      <wp:docPr id="795" name="Frame7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69215" cy="175260"/>
                      <wp:effectExtent l="0" t="0" r="0" b="0"/>
                      <wp:wrapNone/>
                      <wp:docPr id="796" name="Frame7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24460" cy="175260"/>
                      <wp:effectExtent l="0" t="0" r="0" b="0"/>
                      <wp:wrapNone/>
                      <wp:docPr id="797" name="Frame7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524510" cy="175260"/>
                      <wp:effectExtent l="0" t="0" r="0" b="0"/>
                      <wp:wrapNone/>
                      <wp:docPr id="798" name="Frame79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19710" cy="175260"/>
                      <wp:effectExtent l="0" t="0" r="0" b="0"/>
                      <wp:wrapNone/>
                      <wp:docPr id="799" name="Frame7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24460" cy="175260"/>
                      <wp:effectExtent l="0" t="0" r="0" b="0"/>
                      <wp:wrapNone/>
                      <wp:docPr id="800" name="Frame8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381635" cy="175260"/>
                      <wp:effectExtent l="0" t="0" r="0" b="0"/>
                      <wp:wrapNone/>
                      <wp:docPr id="801" name="Frame80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219710" cy="175260"/>
                      <wp:effectExtent l="0" t="0" r="0" b="0"/>
                      <wp:wrapNone/>
                      <wp:docPr id="802" name="Frame8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513715" cy="175260"/>
                      <wp:effectExtent l="0" t="0" r="0" b="0"/>
                      <wp:wrapNone/>
                      <wp:docPr id="803" name="Frame803"/>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249555" cy="175260"/>
                      <wp:effectExtent l="0" t="0" r="0" b="0"/>
                      <wp:wrapNone/>
                      <wp:docPr id="804" name="Frame80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109"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93" w:type="dxa"/>
            <w:tcBorders/>
            <w:vAlign w:val="center"/>
          </w:tcPr>
          <w:p>
            <w:pPr>
              <w:pStyle w:val="TableContents"/>
              <w:bidi w:val="0"/>
              <w:spacing w:before="0" w:after="1"/>
              <w:ind w:left="0" w:right="0" w:hanging="0"/>
              <w:jc w:val="left"/>
              <w:rPr/>
            </w:pPr>
            <w:r>
              <w:rPr/>
              <w:t> </w:t>
            </w:r>
          </w:p>
        </w:tc>
      </w:tr>
      <w:tr>
        <w:trPr/>
        <w:tc>
          <w:tcPr>
            <w:tcW w:w="23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3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32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1"/>
              <w:ind w:left="0" w:right="0" w:hanging="0"/>
              <w:jc w:val="left"/>
              <w:rPr/>
            </w:pPr>
            <w:r>
              <w:rPr/>
              <w:t> </w:t>
            </w:r>
          </w:p>
        </w:tc>
      </w:tr>
      <w:tr>
        <w:trPr/>
        <w:tc>
          <w:tcPr>
            <w:tcW w:w="23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09" w:type="dxa"/>
            <w:tcBorders/>
            <w:vAlign w:val="center"/>
          </w:tcPr>
          <w:p>
            <w:pPr>
              <w:pStyle w:val="TableContents"/>
              <w:bidi w:val="0"/>
              <w:spacing w:before="0" w:after="1"/>
              <w:ind w:left="0" w:right="0" w:hanging="0"/>
              <w:jc w:val="center"/>
              <w:rPr/>
            </w:pPr>
            <w:r>
              <w:rPr/>
              <w:t>​</w:t>
            </w:r>
          </w:p>
        </w:tc>
        <w:tc>
          <w:tcPr>
            <w:tcW w:w="393" w:type="dxa"/>
            <w:tcBorders/>
            <w:vAlign w:val="center"/>
          </w:tcPr>
          <w:p>
            <w:pPr>
              <w:pStyle w:val="TableContents"/>
              <w:bidi w:val="0"/>
              <w:spacing w:before="0" w:after="1"/>
              <w:ind w:left="0" w:right="0" w:hanging="0"/>
              <w:jc w:val="left"/>
              <w:rPr/>
            </w:pPr>
            <w:r>
              <w:rPr/>
              <w:t> </w:t>
            </w:r>
          </w:p>
        </w:tc>
      </w:tr>
      <w:tr>
        <w:trPr/>
        <w:tc>
          <w:tcPr>
            <w:tcW w:w="23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0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93" w:type="dxa"/>
            <w:tcBorders/>
            <w:vAlign w:val="center"/>
          </w:tcPr>
          <w:p>
            <w:pPr>
              <w:pStyle w:val="TableContents"/>
              <w:bidi w:val="0"/>
              <w:spacing w:before="0" w:after="1"/>
              <w:ind w:left="0" w:right="0" w:hanging="0"/>
              <w:jc w:val="left"/>
              <w:rPr/>
            </w:pPr>
            <w:r>
              <w:rPr/>
              <w:t> </w:t>
            </w:r>
          </w:p>
        </w:tc>
      </w:tr>
      <w:tr>
        <w:trPr/>
        <w:tc>
          <w:tcPr>
            <w:tcW w:w="23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  ​ ​ ​</w:t>
            </w:r>
          </w:p>
        </w:tc>
        <w:tc>
          <w:tcPr>
            <w:tcW w:w="823"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Yield/Rate </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1"/>
              <w:ind w:left="0" w:right="0" w:hanging="0"/>
              <w:jc w:val="left"/>
              <w:rPr/>
            </w:pPr>
            <w:r>
              <w:rPr/>
              <w:t>  ​ ​ ​</w:t>
            </w:r>
          </w:p>
        </w:tc>
        <w:tc>
          <w:tcPr>
            <w:tcW w:w="809"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Yield/Rate</w:t>
            </w:r>
            <w:r>
              <w:rPr>
                <w:rFonts w:ascii="Times New Roman;Times;serif" w:hAnsi="Times New Roman;Times;serif"/>
                <w:b/>
                <w:sz w:val="12"/>
              </w:rPr>
              <w:t>(1)</w:t>
            </w:r>
          </w:p>
        </w:tc>
        <w:tc>
          <w:tcPr>
            <w:tcW w:w="393" w:type="dxa"/>
            <w:tcBorders/>
            <w:vAlign w:val="center"/>
          </w:tcPr>
          <w:p>
            <w:pPr>
              <w:pStyle w:val="TableContents"/>
              <w:bidi w:val="0"/>
              <w:spacing w:before="0" w:after="1"/>
              <w:ind w:left="0" w:right="0" w:hanging="0"/>
              <w:jc w:val="left"/>
              <w:rPr/>
            </w:pPr>
            <w:r>
              <w:rPr/>
              <w:t>​</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109" w:type="dxa"/>
            <w:gridSpan w:val="1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3" w:type="dxa"/>
            <w:tcBorders/>
            <w:vAlign w:val="center"/>
          </w:tcPr>
          <w:p>
            <w:pPr>
              <w:pStyle w:val="TableContents"/>
              <w:bidi w:val="0"/>
              <w:spacing w:before="0" w:after="1"/>
              <w:ind w:left="0" w:right="0" w:hanging="0"/>
              <w:jc w:val="left"/>
              <w:rPr/>
            </w:pPr>
            <w:r>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Interest-earning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357"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Loans </w:t>
            </w:r>
            <w:r>
              <w:rPr>
                <w:rFonts w:ascii="Times New Roman;Times;serif" w:hAnsi="Times New Roman;Times;serif"/>
                <w:sz w:val="14"/>
              </w:rPr>
              <w:t>(2)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1,969,467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29,625</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1,879,758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28,103</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w:t>
            </w:r>
          </w:p>
        </w:tc>
        <w:tc>
          <w:tcPr>
            <w:tcW w:w="3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securities available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403,523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2,875</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432,657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3,083</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due from banks and 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191,027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1,979</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167,987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1,829</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4.37</w:t>
            </w:r>
          </w:p>
        </w:tc>
        <w:tc>
          <w:tcPr>
            <w:tcW w:w="3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stock</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14.52</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interest-earning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2,570,196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34,550</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2,486,175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33,224</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w:t>
            </w:r>
          </w:p>
        </w:tc>
        <w:tc>
          <w:tcPr>
            <w:tcW w:w="3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Noninterest-earning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119,178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104,019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2,689,374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2,590,194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demand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442,309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397,476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489</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0.49</w:t>
            </w:r>
          </w:p>
        </w:tc>
        <w:tc>
          <w:tcPr>
            <w:tcW w:w="3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402,356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1,415</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702,607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3,721</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Savings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694,687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3,439</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301,586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1,046</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w:t>
            </w:r>
          </w:p>
        </w:tc>
        <w:tc>
          <w:tcPr>
            <w:tcW w:w="3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Certificates of deposit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44,518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221,363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2,222</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1,583,870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5,564</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1,623,032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7,478</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3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FHLB Advances and other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4.38</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Subordinated notes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24,587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19,615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4.72</w:t>
            </w:r>
          </w:p>
        </w:tc>
        <w:tc>
          <w:tcPr>
            <w:tcW w:w="3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1,622,063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6,128</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1,676,988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8,084</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Noninterest-bearing demand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740,345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670,150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2,391,831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2,374,574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297,543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215,620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35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2,689,374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2,590,194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28,422</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25,140</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357"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interest rate spread </w:t>
            </w:r>
            <w:r>
              <w:rPr>
                <w:rFonts w:ascii="Times New Roman;Times;serif" w:hAnsi="Times New Roman;Times;serif"/>
                <w:sz w:val="14"/>
              </w:rPr>
              <w:t>(3)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w:t>
            </w:r>
          </w:p>
        </w:tc>
        <w:tc>
          <w:tcPr>
            <w:tcW w:w="3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5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interest-earning assets </w:t>
            </w:r>
            <w:r>
              <w:rPr>
                <w:rFonts w:ascii="Times New Roman;Times;serif" w:hAnsi="Times New Roman;Times;serif"/>
                <w:sz w:val="14"/>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948,133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809,187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357"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interest margin </w:t>
            </w:r>
            <w:r>
              <w:rPr>
                <w:rFonts w:ascii="Times New Roman;Times;serif" w:hAnsi="Times New Roman;Times;serif"/>
                <w:sz w:val="14"/>
              </w:rPr>
              <w:t>(5)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w:t>
            </w:r>
          </w:p>
        </w:tc>
        <w:tc>
          <w:tcPr>
            <w:tcW w:w="39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5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interest-earning assets to interest-bearing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148.3</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firstLine="360"/>
        <w:jc w:val="both"/>
        <w:rPr/>
      </w:pPr>
      <w:r>
        <w:rPr/>
        <w:t>​</w:t>
      </w:r>
    </w:p>
    <w:tbl>
      <w:tblPr>
        <w:tblW w:w="1262" w:type="dxa"/>
        <w:jc w:val="left"/>
        <w:tblInd w:w="0" w:type="dxa"/>
        <w:tblLayout w:type="fixed"/>
        <w:tblCellMar>
          <w:top w:w="0" w:type="dxa"/>
          <w:left w:w="0" w:type="dxa"/>
          <w:bottom w:w="0" w:type="dxa"/>
          <w:right w:w="0" w:type="dxa"/>
        </w:tblCellMar>
      </w:tblPr>
      <w:tblGrid>
        <w:gridCol w:w="271"/>
        <w:gridCol w:w="991"/>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(1)</w:t>
            </w:r>
          </w:p>
        </w:tc>
        <w:tc>
          <w:tcPr>
            <w:tcW w:w="99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Annualized.</w:t>
            </w:r>
          </w:p>
        </w:tc>
      </w:tr>
    </w:tbl>
    <w:tbl>
      <w:tblPr>
        <w:tblW w:w="2387" w:type="dxa"/>
        <w:jc w:val="left"/>
        <w:tblInd w:w="0" w:type="dxa"/>
        <w:tblLayout w:type="fixed"/>
        <w:tblCellMar>
          <w:top w:w="0" w:type="dxa"/>
          <w:left w:w="0" w:type="dxa"/>
          <w:bottom w:w="0" w:type="dxa"/>
          <w:right w:w="0" w:type="dxa"/>
        </w:tblCellMar>
      </w:tblPr>
      <w:tblGrid>
        <w:gridCol w:w="271"/>
        <w:gridCol w:w="2116"/>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(2)</w:t>
            </w:r>
          </w:p>
        </w:tc>
        <w:tc>
          <w:tcPr>
            <w:tcW w:w="211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Includes loans held-for-sale.</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(3)</w:t>
            </w:r>
          </w:p>
        </w:tc>
        <w:tc>
          <w:tcPr>
            <w:tcW w:w="994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Net interest rate spread represents the difference between the weighted average yield on interest-earning assets and the weighted average rate of interest-bearing liabilities.</w:t>
            </w:r>
          </w:p>
        </w:tc>
      </w:tr>
    </w:tbl>
    <w:tbl>
      <w:tblPr>
        <w:tblW w:w="7232" w:type="dxa"/>
        <w:jc w:val="left"/>
        <w:tblInd w:w="0" w:type="dxa"/>
        <w:tblLayout w:type="fixed"/>
        <w:tblCellMar>
          <w:top w:w="0" w:type="dxa"/>
          <w:left w:w="0" w:type="dxa"/>
          <w:bottom w:w="0" w:type="dxa"/>
          <w:right w:w="0" w:type="dxa"/>
        </w:tblCellMar>
      </w:tblPr>
      <w:tblGrid>
        <w:gridCol w:w="271"/>
        <w:gridCol w:w="6961"/>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(4)</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Net interest-earning assets represent total interest-earning assets less total interest-bearing liabilities.</w:t>
            </w:r>
          </w:p>
        </w:tc>
      </w:tr>
    </w:tbl>
    <w:tbl>
      <w:tblPr>
        <w:tblW w:w="7142" w:type="dxa"/>
        <w:jc w:val="left"/>
        <w:tblInd w:w="0" w:type="dxa"/>
        <w:tblLayout w:type="fixed"/>
        <w:tblCellMar>
          <w:top w:w="0" w:type="dxa"/>
          <w:left w:w="0" w:type="dxa"/>
          <w:bottom w:w="0" w:type="dxa"/>
          <w:right w:w="0" w:type="dxa"/>
        </w:tblCellMar>
      </w:tblPr>
      <w:tblGrid>
        <w:gridCol w:w="271"/>
        <w:gridCol w:w="6871"/>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(5)</w:t>
            </w:r>
          </w:p>
        </w:tc>
        <w:tc>
          <w:tcPr>
            <w:tcW w:w="687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Net interest margin represents net interest income divided by average total interest-earning assets.</w:t>
            </w:r>
          </w:p>
        </w:tc>
      </w:tr>
    </w:tbl>
    <w:p>
      <w:pPr>
        <w:pStyle w:val="TextBody"/>
        <w:bidi w:val="0"/>
        <w:spacing w:before="0" w:after="45"/>
        <w:ind w:left="0" w:right="0" w:hanging="0"/>
        <w:jc w:val="both"/>
        <w:rPr/>
      </w:pPr>
      <w:r>
        <w:rPr/>
        <w:t>​</w:t>
      </w:r>
    </w:p>
    <w:p>
      <w:pPr>
        <w:pStyle w:val="TextBody"/>
        <w:bidi w:val="0"/>
        <w:spacing w:before="0" w:after="45"/>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5"/>
        <w:ind w:left="0" w:right="0" w:hanging="0"/>
        <w:jc w:val="both"/>
        <w:rPr/>
      </w:pPr>
      <w:r>
        <w:rPr/>
        <w:t>​</w:t>
      </w:r>
    </w:p>
    <w:p>
      <w:pPr>
        <w:pStyle w:val="TextBody"/>
        <w:bidi w:val="0"/>
        <w:spacing w:before="0" w:after="45"/>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15"/>
        <w:gridCol w:w="346"/>
        <w:gridCol w:w="196"/>
        <w:gridCol w:w="826"/>
        <w:gridCol w:w="346"/>
        <w:gridCol w:w="196"/>
        <w:gridCol w:w="601"/>
        <w:gridCol w:w="346"/>
        <w:gridCol w:w="837"/>
        <w:gridCol w:w="346"/>
        <w:gridCol w:w="109"/>
        <w:gridCol w:w="196"/>
        <w:gridCol w:w="826"/>
        <w:gridCol w:w="346"/>
        <w:gridCol w:w="196"/>
        <w:gridCol w:w="601"/>
        <w:gridCol w:w="346"/>
        <w:gridCol w:w="837"/>
        <w:gridCol w:w="393"/>
      </w:tblGrid>
      <w:tr>
        <w:trPr/>
        <w:tc>
          <w:tcPr>
            <w:tcW w:w="2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1470025" cy="175260"/>
                      <wp:effectExtent l="0" t="0" r="0" b="0"/>
                      <wp:wrapNone/>
                      <wp:docPr id="805" name="Frame805"/>
                      <a:graphic xmlns:a="http://schemas.openxmlformats.org/drawingml/2006/main">
                        <a:graphicData uri="http://schemas.microsoft.com/office/word/2010/wordprocessingShape">
                          <wps:wsp>
                            <wps:cNvSpPr txBox="1"/>
                            <wps:spPr>
                              <a:xfrm>
                                <a:off x="0" y="0"/>
                                <a:ext cx="147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219710" cy="175260"/>
                      <wp:effectExtent l="0" t="0" r="0" b="0"/>
                      <wp:wrapNone/>
                      <wp:docPr id="806" name="Frame8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124460" cy="175260"/>
                      <wp:effectExtent l="0" t="0" r="0" b="0"/>
                      <wp:wrapNone/>
                      <wp:docPr id="807" name="Frame8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524510" cy="175260"/>
                      <wp:effectExtent l="0" t="0" r="0" b="0"/>
                      <wp:wrapNone/>
                      <wp:docPr id="808" name="Frame8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19710" cy="175260"/>
                      <wp:effectExtent l="0" t="0" r="0" b="0"/>
                      <wp:wrapNone/>
                      <wp:docPr id="809" name="Frame8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24460" cy="175260"/>
                      <wp:effectExtent l="0" t="0" r="0" b="0"/>
                      <wp:wrapNone/>
                      <wp:docPr id="810" name="Frame8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381635" cy="175260"/>
                      <wp:effectExtent l="0" t="0" r="0" b="0"/>
                      <wp:wrapNone/>
                      <wp:docPr id="811" name="Frame81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219710" cy="175260"/>
                      <wp:effectExtent l="0" t="0" r="0" b="0"/>
                      <wp:wrapNone/>
                      <wp:docPr id="812" name="Frame8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531495" cy="175260"/>
                      <wp:effectExtent l="0" t="0" r="0" b="0"/>
                      <wp:wrapNone/>
                      <wp:docPr id="813" name="Frame813"/>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219710" cy="175260"/>
                      <wp:effectExtent l="0" t="0" r="0" b="0"/>
                      <wp:wrapNone/>
                      <wp:docPr id="814" name="Frame8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69215" cy="175260"/>
                      <wp:effectExtent l="0" t="0" r="0" b="0"/>
                      <wp:wrapNone/>
                      <wp:docPr id="815" name="Frame8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124460" cy="175260"/>
                      <wp:effectExtent l="0" t="0" r="0" b="0"/>
                      <wp:wrapNone/>
                      <wp:docPr id="816" name="Frame8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524510" cy="175260"/>
                      <wp:effectExtent l="0" t="0" r="0" b="0"/>
                      <wp:wrapNone/>
                      <wp:docPr id="817" name="Frame8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219710" cy="175260"/>
                      <wp:effectExtent l="0" t="0" r="0" b="0"/>
                      <wp:wrapNone/>
                      <wp:docPr id="818" name="Frame8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124460" cy="175260"/>
                      <wp:effectExtent l="0" t="0" r="0" b="0"/>
                      <wp:wrapNone/>
                      <wp:docPr id="819" name="Frame8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381635" cy="175260"/>
                      <wp:effectExtent l="0" t="0" r="0" b="0"/>
                      <wp:wrapNone/>
                      <wp:docPr id="820" name="Frame82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219710" cy="175260"/>
                      <wp:effectExtent l="0" t="0" r="0" b="0"/>
                      <wp:wrapNone/>
                      <wp:docPr id="821" name="Frame8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531495" cy="175260"/>
                      <wp:effectExtent l="0" t="0" r="0" b="0"/>
                      <wp:wrapNone/>
                      <wp:docPr id="822" name="Frame822"/>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249555" cy="175260"/>
                      <wp:effectExtent l="0" t="0" r="0" b="0"/>
                      <wp:wrapNone/>
                      <wp:docPr id="823" name="Frame823"/>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51"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93" w:type="dxa"/>
            <w:tcBorders/>
            <w:vAlign w:val="center"/>
          </w:tcPr>
          <w:p>
            <w:pPr>
              <w:pStyle w:val="TableContents"/>
              <w:bidi w:val="0"/>
              <w:spacing w:before="0" w:after="0"/>
              <w:ind w:left="0" w:right="0" w:hanging="0"/>
              <w:jc w:val="center"/>
              <w:rPr/>
            </w:pPr>
            <w:r>
              <w:rPr/>
              <w:t> </w: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4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4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0"/>
              <w:ind w:left="0" w:right="0" w:hanging="0"/>
              <w:jc w:val="center"/>
              <w:rPr/>
            </w:pPr>
            <w:r>
              <w:rPr/>
              <w:t> </w: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46" w:type="dxa"/>
            <w:tcBorders/>
            <w:vAlign w:val="center"/>
          </w:tcPr>
          <w:p>
            <w:pPr>
              <w:pStyle w:val="TableContents"/>
              <w:bidi w:val="0"/>
              <w:spacing w:before="0" w:after="0"/>
              <w:ind w:left="0" w:right="0" w:hanging="0"/>
              <w:jc w:val="center"/>
              <w:rPr/>
            </w:pPr>
            <w:r>
              <w:rPr/>
              <w:t>  ​ ​ ​</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37" w:type="dxa"/>
            <w:tcBorders/>
            <w:vAlign w:val="center"/>
          </w:tcPr>
          <w:p>
            <w:pPr>
              <w:pStyle w:val="TableContents"/>
              <w:bidi w:val="0"/>
              <w:spacing w:before="0" w:after="0"/>
              <w:ind w:left="0" w:right="0" w:hanging="0"/>
              <w:jc w:val="center"/>
              <w:rPr/>
            </w:pPr>
            <w:r>
              <w:rPr/>
              <w:t>​</w:t>
            </w:r>
          </w:p>
        </w:tc>
        <w:tc>
          <w:tcPr>
            <w:tcW w:w="393" w:type="dxa"/>
            <w:tcBorders/>
            <w:vAlign w:val="center"/>
          </w:tcPr>
          <w:p>
            <w:pPr>
              <w:pStyle w:val="TableContents"/>
              <w:bidi w:val="0"/>
              <w:spacing w:before="0" w:after="0"/>
              <w:ind w:left="0" w:right="0" w:hanging="0"/>
              <w:jc w:val="center"/>
              <w:rPr/>
            </w:pPr>
            <w:r>
              <w:rPr/>
              <w:t> </w: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393" w:type="dxa"/>
            <w:tcBorders/>
            <w:vAlign w:val="center"/>
          </w:tcPr>
          <w:p>
            <w:pPr>
              <w:pStyle w:val="TableContents"/>
              <w:bidi w:val="0"/>
              <w:spacing w:before="0" w:after="0"/>
              <w:ind w:left="0" w:right="0" w:hanging="0"/>
              <w:jc w:val="center"/>
              <w:rPr/>
            </w:pPr>
            <w:r>
              <w:rPr/>
              <w:t> </w:t>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Balance</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Yield/Rate</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Balance</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46" w:type="dxa"/>
            <w:tcBorders/>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Yield/Rate</w:t>
            </w:r>
            <w:r>
              <w:rPr>
                <w:rFonts w:ascii="Times New Roman;Times;serif" w:hAnsi="Times New Roman;Times;serif"/>
                <w:b/>
                <w:sz w:val="12"/>
              </w:rPr>
              <w:t>(1)</w:t>
            </w:r>
          </w:p>
        </w:tc>
        <w:tc>
          <w:tcPr>
            <w:tcW w:w="393" w:type="dxa"/>
            <w:tcBorders/>
            <w:vAlign w:val="center"/>
          </w:tcPr>
          <w:p>
            <w:pPr>
              <w:pStyle w:val="TableContents"/>
              <w:bidi w:val="0"/>
              <w:spacing w:before="0" w:after="0"/>
              <w:ind w:left="0" w:right="0" w:hanging="0"/>
              <w:jc w:val="center"/>
              <w:rPr/>
            </w:pPr>
            <w:r>
              <w:rPr/>
              <w:t> </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3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151"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3" w:type="dxa"/>
            <w:tcBorders/>
            <w:vAlign w:val="center"/>
          </w:tcPr>
          <w:p>
            <w:pPr>
              <w:pStyle w:val="TableContents"/>
              <w:bidi w:val="0"/>
              <w:spacing w:before="0" w:after="0"/>
              <w:ind w:left="0" w:right="0" w:hanging="0"/>
              <w:jc w:val="left"/>
              <w:rPr/>
            </w:pPr>
            <w:r>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Interest-earning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31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Loans </w:t>
            </w: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1,962,496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59,415</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1,855,056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55,417</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 available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410,313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5,766</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437,191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6,205</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due from banks and 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190,767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3,623</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157,381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3,182</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9.60</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interest-earning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2,569,625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68,969</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2,456,499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65,131</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Noninterest-earning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2,684,833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2,559,494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left"/>
              <w:rPr/>
            </w:pPr>
            <w:r>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demand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458,710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1,231</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377,378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891</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0.48</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Money market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448,729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3,424</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694,263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7,356</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Savings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615,591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5,933</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285,393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1,903</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Certificates of deposit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222,173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4,446</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1,589,256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11,554</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1,579,207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14,596</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FHLB Advances and other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1,306</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Subordinated notes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24,576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860</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4.74</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1,625,645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12,646</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1,658,349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16,363</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Noninterest-bearing demand deposits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734,158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668,864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left"/>
              <w:rPr/>
            </w:pPr>
            <w:r>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2,390,911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2,355,878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left"/>
              <w:rPr/>
            </w:pPr>
            <w:r>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293,922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203,616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31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2,684,833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2,559,494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left"/>
              <w:rPr/>
            </w:pPr>
            <w:r>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56,323</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48,768</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31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interest rate spread </w:t>
            </w:r>
            <w:r>
              <w:rPr>
                <w:rFonts w:ascii="Times New Roman;Times;serif" w:hAnsi="Times New Roman;Times;serif"/>
                <w:sz w:val="14"/>
              </w:rPr>
              <w:t>(3)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1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interest-earning assets </w:t>
            </w: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943,980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798,150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pPr>
            <w:r>
              <w:rPr/>
              <w:t>  ​</w:t>
            </w:r>
          </w:p>
        </w:tc>
        <w:tc>
          <w:tcPr>
            <w:tcW w:w="393" w:type="dxa"/>
            <w:tcBorders/>
            <w:shd w:fill="CCEEFF" w:val="clear"/>
            <w:vAlign w:val="center"/>
          </w:tcPr>
          <w:p>
            <w:pPr>
              <w:pStyle w:val="TableContents"/>
              <w:bidi w:val="0"/>
              <w:spacing w:before="0" w:after="0"/>
              <w:ind w:left="0" w:right="0" w:hanging="0"/>
              <w:jc w:val="left"/>
              <w:rPr/>
            </w:pPr>
            <w:r>
              <w:rPr/>
              <w:t>​</w:t>
            </w:r>
          </w:p>
        </w:tc>
      </w:tr>
      <w:tr>
        <w:trPr/>
        <w:tc>
          <w:tcPr>
            <w:tcW w:w="2315"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interest margin </w:t>
            </w:r>
            <w:r>
              <w:rPr>
                <w:rFonts w:ascii="Times New Roman;Times;serif" w:hAnsi="Times New Roman;Times;serif"/>
                <w:sz w:val="14"/>
              </w:rPr>
              <w:t>(5)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interest-earning assets to 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148.1</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1262" w:type="dxa"/>
        <w:jc w:val="left"/>
        <w:tblInd w:w="0" w:type="dxa"/>
        <w:tblLayout w:type="fixed"/>
        <w:tblCellMar>
          <w:top w:w="0" w:type="dxa"/>
          <w:left w:w="0" w:type="dxa"/>
          <w:bottom w:w="0" w:type="dxa"/>
          <w:right w:w="0" w:type="dxa"/>
        </w:tblCellMar>
      </w:tblPr>
      <w:tblGrid>
        <w:gridCol w:w="271"/>
        <w:gridCol w:w="991"/>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(1)</w:t>
            </w:r>
          </w:p>
        </w:tc>
        <w:tc>
          <w:tcPr>
            <w:tcW w:w="99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Annualized.</w:t>
            </w:r>
          </w:p>
        </w:tc>
      </w:tr>
    </w:tbl>
    <w:tbl>
      <w:tblPr>
        <w:tblW w:w="2387" w:type="dxa"/>
        <w:jc w:val="left"/>
        <w:tblInd w:w="0" w:type="dxa"/>
        <w:tblLayout w:type="fixed"/>
        <w:tblCellMar>
          <w:top w:w="0" w:type="dxa"/>
          <w:left w:w="0" w:type="dxa"/>
          <w:bottom w:w="0" w:type="dxa"/>
          <w:right w:w="0" w:type="dxa"/>
        </w:tblCellMar>
      </w:tblPr>
      <w:tblGrid>
        <w:gridCol w:w="271"/>
        <w:gridCol w:w="2116"/>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(2)</w:t>
            </w:r>
          </w:p>
        </w:tc>
        <w:tc>
          <w:tcPr>
            <w:tcW w:w="211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Includes loans held-for-sale.</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(3)</w:t>
            </w:r>
          </w:p>
        </w:tc>
        <w:tc>
          <w:tcPr>
            <w:tcW w:w="994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Net interest rate spread represents the difference between the weighted average yield on interest-earning assets and the weighted average rate of interest-bearing liabilities.</w:t>
            </w:r>
          </w:p>
        </w:tc>
      </w:tr>
    </w:tbl>
    <w:tbl>
      <w:tblPr>
        <w:tblW w:w="7232" w:type="dxa"/>
        <w:jc w:val="left"/>
        <w:tblInd w:w="0" w:type="dxa"/>
        <w:tblLayout w:type="fixed"/>
        <w:tblCellMar>
          <w:top w:w="0" w:type="dxa"/>
          <w:left w:w="0" w:type="dxa"/>
          <w:bottom w:w="0" w:type="dxa"/>
          <w:right w:w="0" w:type="dxa"/>
        </w:tblCellMar>
      </w:tblPr>
      <w:tblGrid>
        <w:gridCol w:w="271"/>
        <w:gridCol w:w="6961"/>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(4)</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Net interest-earning assets represent total interest-earning assets less total interest-bearing liabilities.</w:t>
            </w:r>
          </w:p>
        </w:tc>
      </w:tr>
    </w:tbl>
    <w:tbl>
      <w:tblPr>
        <w:tblW w:w="7142" w:type="dxa"/>
        <w:jc w:val="left"/>
        <w:tblInd w:w="0" w:type="dxa"/>
        <w:tblLayout w:type="fixed"/>
        <w:tblCellMar>
          <w:top w:w="0" w:type="dxa"/>
          <w:left w:w="0" w:type="dxa"/>
          <w:bottom w:w="0" w:type="dxa"/>
          <w:right w:w="0" w:type="dxa"/>
        </w:tblCellMar>
      </w:tblPr>
      <w:tblGrid>
        <w:gridCol w:w="271"/>
        <w:gridCol w:w="6871"/>
      </w:tblGrid>
      <w:tr>
        <w:trPr/>
        <w:tc>
          <w:tcPr>
            <w:tcW w:w="271" w:type="dxa"/>
            <w:tcBorders/>
            <w:vAlign w:val="center"/>
          </w:tcPr>
          <w:p>
            <w:pPr>
              <w:pStyle w:val="TableContents"/>
              <w:bidi w:val="0"/>
              <w:spacing w:before="0" w:after="283"/>
              <w:jc w:val="left"/>
              <w:rPr>
                <w:rFonts w:ascii="Times New Roman;Times;serif" w:hAnsi="Times New Roman;Times;serif"/>
                <w:color w:val="231F20"/>
                <w:sz w:val="12"/>
              </w:rPr>
            </w:pPr>
            <w:r>
              <w:rPr>
                <w:rFonts w:ascii="Times New Roman;Times;serif" w:hAnsi="Times New Roman;Times;serif"/>
                <w:color w:val="231F20"/>
                <w:sz w:val="12"/>
              </w:rPr>
              <w:t>(5)</w:t>
            </w:r>
          </w:p>
        </w:tc>
        <w:tc>
          <w:tcPr>
            <w:tcW w:w="687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val="false"/>
                <w:caps w:val="false"/>
                <w:smallCaps w:val="false"/>
                <w:color w:val="231F20"/>
                <w:sz w:val="16"/>
              </w:rPr>
              <w:t>Net interest margin represents net interest income divided by average total interest-earning assets.</w:t>
            </w:r>
          </w:p>
        </w:tc>
      </w:tr>
    </w:tbl>
    <w:p>
      <w:pPr>
        <w:pStyle w:val="TextBody"/>
        <w:bidi w:val="0"/>
        <w:spacing w:before="0" w:after="45"/>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Rate/Volume Analysis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dollar amount of changes in interest income and interest expense for major components of interest earning assets and interest-bearing liabilities for the periods indicated. The table distinguishes between: (1) changes attributable to volume (changes in volume multiplied by the prior period’s rate); (2) changes attributable to rate (change in rate multiplied by the prior year’s volume) and (3) total increase (decrease) (the sum of the previous columns). Changes attributable to both volume and rate are allocated ratably between the volume and rate categories.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711"/>
        <w:gridCol w:w="346"/>
        <w:gridCol w:w="206"/>
        <w:gridCol w:w="663"/>
        <w:gridCol w:w="366"/>
        <w:gridCol w:w="206"/>
        <w:gridCol w:w="663"/>
        <w:gridCol w:w="346"/>
        <w:gridCol w:w="235"/>
        <w:gridCol w:w="689"/>
        <w:gridCol w:w="346"/>
        <w:gridCol w:w="206"/>
        <w:gridCol w:w="663"/>
        <w:gridCol w:w="366"/>
        <w:gridCol w:w="206"/>
        <w:gridCol w:w="663"/>
        <w:gridCol w:w="346"/>
        <w:gridCol w:w="233"/>
        <w:gridCol w:w="745"/>
      </w:tblGrid>
      <w:tr>
        <w:trPr/>
        <w:tc>
          <w:tcPr>
            <w:tcW w:w="2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1721485" cy="175260"/>
                      <wp:effectExtent l="0" t="0" r="0" b="0"/>
                      <wp:wrapNone/>
                      <wp:docPr id="824" name="Frame824"/>
                      <a:graphic xmlns:a="http://schemas.openxmlformats.org/drawingml/2006/main">
                        <a:graphicData uri="http://schemas.microsoft.com/office/word/2010/wordprocessingShape">
                          <wps:wsp>
                            <wps:cNvSpPr txBox="1"/>
                            <wps:spPr>
                              <a:xfrm>
                                <a:off x="0" y="0"/>
                                <a:ext cx="172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219710" cy="175260"/>
                      <wp:effectExtent l="0" t="0" r="0" b="0"/>
                      <wp:wrapNone/>
                      <wp:docPr id="825" name="Frame8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130810" cy="175260"/>
                      <wp:effectExtent l="0" t="0" r="0" b="0"/>
                      <wp:wrapNone/>
                      <wp:docPr id="826" name="Frame82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421005" cy="175260"/>
                      <wp:effectExtent l="0" t="0" r="0" b="0"/>
                      <wp:wrapNone/>
                      <wp:docPr id="827" name="Frame827"/>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232410" cy="175260"/>
                      <wp:effectExtent l="0" t="0" r="0" b="0"/>
                      <wp:wrapNone/>
                      <wp:docPr id="828" name="Frame82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130810" cy="175260"/>
                      <wp:effectExtent l="0" t="0" r="0" b="0"/>
                      <wp:wrapNone/>
                      <wp:docPr id="829" name="Frame82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421005" cy="175260"/>
                      <wp:effectExtent l="0" t="0" r="0" b="0"/>
                      <wp:wrapNone/>
                      <wp:docPr id="830" name="Frame830"/>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219710" cy="175260"/>
                      <wp:effectExtent l="0" t="0" r="0" b="0"/>
                      <wp:wrapNone/>
                      <wp:docPr id="831" name="Frame8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149225" cy="175260"/>
                      <wp:effectExtent l="0" t="0" r="0" b="0"/>
                      <wp:wrapNone/>
                      <wp:docPr id="832" name="Frame83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437515" cy="175260"/>
                      <wp:effectExtent l="0" t="0" r="0" b="0"/>
                      <wp:wrapNone/>
                      <wp:docPr id="833" name="Frame83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219710" cy="175260"/>
                      <wp:effectExtent l="0" t="0" r="0" b="0"/>
                      <wp:wrapNone/>
                      <wp:docPr id="834" name="Frame8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130810" cy="175260"/>
                      <wp:effectExtent l="0" t="0" r="0" b="0"/>
                      <wp:wrapNone/>
                      <wp:docPr id="835" name="Frame83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421005" cy="175260"/>
                      <wp:effectExtent l="0" t="0" r="0" b="0"/>
                      <wp:wrapNone/>
                      <wp:docPr id="836" name="Frame836"/>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232410" cy="175260"/>
                      <wp:effectExtent l="0" t="0" r="0" b="0"/>
                      <wp:wrapNone/>
                      <wp:docPr id="837" name="Frame837"/>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130810" cy="175260"/>
                      <wp:effectExtent l="0" t="0" r="0" b="0"/>
                      <wp:wrapNone/>
                      <wp:docPr id="838" name="Frame8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421005" cy="175260"/>
                      <wp:effectExtent l="0" t="0" r="0" b="0"/>
                      <wp:wrapNone/>
                      <wp:docPr id="839" name="Frame839"/>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219710" cy="175260"/>
                      <wp:effectExtent l="0" t="0" r="0" b="0"/>
                      <wp:wrapNone/>
                      <wp:docPr id="840" name="Frame8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147955" cy="175260"/>
                      <wp:effectExtent l="0" t="0" r="0" b="0"/>
                      <wp:wrapNone/>
                      <wp:docPr id="841" name="Frame84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473075" cy="175260"/>
                      <wp:effectExtent l="0" t="0" r="0" b="0"/>
                      <wp:wrapNone/>
                      <wp:docPr id="842" name="Frame842"/>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74"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342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37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c>
          <w:tcPr>
            <w:tcW w:w="346" w:type="dxa"/>
            <w:tcBorders/>
            <w:vAlign w:val="center"/>
          </w:tcPr>
          <w:p>
            <w:pPr>
              <w:pStyle w:val="TableContents"/>
              <w:bidi w:val="0"/>
              <w:spacing w:before="0" w:after="0"/>
              <w:ind w:left="0" w:right="0" w:hanging="0"/>
              <w:jc w:val="center"/>
              <w:rPr/>
            </w:pPr>
            <w:r>
              <w:rPr/>
              <w:t>​</w:t>
            </w:r>
          </w:p>
        </w:tc>
        <w:tc>
          <w:tcPr>
            <w:tcW w:w="34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 vs. 2025</w:t>
            </w:r>
          </w:p>
        </w:tc>
      </w:tr>
      <w:tr>
        <w:trPr/>
        <w:tc>
          <w:tcPr>
            <w:tcW w:w="2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04" w:type="dxa"/>
            <w:gridSpan w:val="5"/>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c>
          <w:tcPr>
            <w:tcW w:w="346" w:type="dxa"/>
            <w:tcBorders/>
            <w:vAlign w:val="center"/>
          </w:tcPr>
          <w:p>
            <w:pPr>
              <w:pStyle w:val="TableContents"/>
              <w:bidi w:val="0"/>
              <w:spacing w:before="0" w:after="0"/>
              <w:ind w:left="0" w:right="0" w:hanging="0"/>
              <w:jc w:val="center"/>
              <w:rPr/>
            </w:pPr>
            <w:r>
              <w:rPr/>
              <w:t>​</w:t>
            </w:r>
          </w:p>
        </w:tc>
        <w:tc>
          <w:tcPr>
            <w:tcW w:w="2104" w:type="dxa"/>
            <w:gridSpan w:val="5"/>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2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 Due to </w:t>
            </w:r>
          </w:p>
        </w:tc>
        <w:tc>
          <w:tcPr>
            <w:tcW w:w="346" w:type="dxa"/>
            <w:tcBorders/>
            <w:vAlign w:val="center"/>
          </w:tcPr>
          <w:p>
            <w:pPr>
              <w:pStyle w:val="TableContents"/>
              <w:bidi w:val="0"/>
              <w:spacing w:before="0" w:after="0"/>
              <w:ind w:left="0" w:right="0" w:hanging="0"/>
              <w:jc w:val="center"/>
              <w:rPr/>
            </w:pPr>
            <w:r>
              <w:rPr/>
              <w:t>​</w:t>
            </w:r>
          </w:p>
        </w:tc>
        <w:tc>
          <w:tcPr>
            <w:tcW w:w="9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before="0" w:after="0"/>
              <w:ind w:left="0" w:right="0" w:hanging="0"/>
              <w:jc w:val="center"/>
              <w:rPr/>
            </w:pPr>
            <w:r>
              <w:rPr/>
              <w:t>​</w:t>
            </w:r>
          </w:p>
        </w:tc>
        <w:tc>
          <w:tcPr>
            <w:tcW w:w="21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 Due to </w:t>
            </w:r>
          </w:p>
        </w:tc>
        <w:tc>
          <w:tcPr>
            <w:tcW w:w="346" w:type="dxa"/>
            <w:tcBorders/>
            <w:vAlign w:val="center"/>
          </w:tcPr>
          <w:p>
            <w:pPr>
              <w:pStyle w:val="TableContents"/>
              <w:bidi w:val="0"/>
              <w:spacing w:before="0" w:after="0"/>
              <w:ind w:left="0" w:right="0" w:hanging="0"/>
              <w:jc w:val="center"/>
              <w:rPr/>
            </w:pPr>
            <w:r>
              <w:rPr/>
              <w:t>​</w:t>
            </w:r>
          </w:p>
        </w:tc>
        <w:tc>
          <w:tcPr>
            <w:tcW w:w="97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2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Volume</w:t>
            </w:r>
          </w:p>
        </w:tc>
        <w:tc>
          <w:tcPr>
            <w:tcW w:w="366" w:type="dxa"/>
            <w:tcBorders/>
            <w:vAlign w:val="center"/>
          </w:tcPr>
          <w:p>
            <w:pPr>
              <w:pStyle w:val="TableContents"/>
              <w:bidi w:val="0"/>
              <w:spacing w:before="0" w:after="0"/>
              <w:ind w:left="0" w:right="0" w:hanging="0"/>
              <w:jc w:val="center"/>
              <w:rPr/>
            </w:pPr>
            <w:r>
              <w:rPr/>
              <w:t>  ​ ​ ​</w:t>
            </w:r>
          </w:p>
        </w:tc>
        <w:tc>
          <w:tcPr>
            <w:tcW w:w="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0"/>
              <w:ind w:left="0" w:right="0" w:hanging="0"/>
              <w:jc w:val="center"/>
              <w:rPr/>
            </w:pPr>
            <w:r>
              <w:rPr/>
              <w:t>  ​ ​ ​</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(Decrease)</w:t>
            </w:r>
          </w:p>
        </w:tc>
        <w:tc>
          <w:tcPr>
            <w:tcW w:w="346" w:type="dxa"/>
            <w:tcBorders/>
            <w:vAlign w:val="center"/>
          </w:tcPr>
          <w:p>
            <w:pPr>
              <w:pStyle w:val="TableContents"/>
              <w:bidi w:val="0"/>
              <w:spacing w:before="0" w:after="0"/>
              <w:ind w:left="0" w:right="0" w:hanging="0"/>
              <w:jc w:val="center"/>
              <w:rPr/>
            </w:pPr>
            <w:r>
              <w:rPr/>
              <w:t>  ​ ​ ​</w:t>
            </w:r>
          </w:p>
        </w:tc>
        <w:tc>
          <w:tcPr>
            <w:tcW w:w="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Volume</w:t>
            </w:r>
          </w:p>
        </w:tc>
        <w:tc>
          <w:tcPr>
            <w:tcW w:w="366" w:type="dxa"/>
            <w:tcBorders/>
            <w:vAlign w:val="center"/>
          </w:tcPr>
          <w:p>
            <w:pPr>
              <w:pStyle w:val="TableContents"/>
              <w:bidi w:val="0"/>
              <w:spacing w:before="0" w:after="0"/>
              <w:ind w:left="0" w:right="0" w:hanging="0"/>
              <w:jc w:val="center"/>
              <w:rPr/>
            </w:pPr>
            <w:r>
              <w:rPr/>
              <w:t>  ​ ​ ​</w:t>
            </w:r>
          </w:p>
        </w:tc>
        <w:tc>
          <w:tcPr>
            <w:tcW w:w="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46" w:type="dxa"/>
            <w:tcBorders/>
            <w:vAlign w:val="center"/>
          </w:tcPr>
          <w:p>
            <w:pPr>
              <w:pStyle w:val="TableContents"/>
              <w:bidi w:val="0"/>
              <w:spacing w:before="0" w:after="0"/>
              <w:ind w:left="0" w:right="0" w:hanging="0"/>
              <w:jc w:val="center"/>
              <w:rPr/>
            </w:pPr>
            <w:r>
              <w:rPr/>
              <w:t>  ​ ​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(Decrease)</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148" w:type="dxa"/>
            <w:gridSpan w:val="1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1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Interest-earning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pPr>
            <w:r>
              <w:rPr/>
              <w:t>  ​</w:t>
            </w:r>
          </w:p>
        </w:tc>
      </w:tr>
      <w:tr>
        <w:trPr/>
        <w:tc>
          <w:tcPr>
            <w:tcW w:w="2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Loans </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1,355</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1,522</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3,329</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669</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3,998</w:t>
            </w:r>
          </w:p>
        </w:tc>
      </w:tr>
      <w:tr>
        <w:trPr/>
        <w:tc>
          <w:tcPr>
            <w:tcW w:w="27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 available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w:t>
            </w:r>
          </w:p>
        </w:tc>
      </w:tr>
      <w:tr>
        <w:trPr/>
        <w:tc>
          <w:tcPr>
            <w:tcW w:w="2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due from banks</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634</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w:t>
            </w:r>
          </w:p>
        </w:tc>
      </w:tr>
      <w:tr>
        <w:trPr/>
        <w:tc>
          <w:tcPr>
            <w:tcW w:w="27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w:t>
            </w:r>
          </w:p>
        </w:tc>
      </w:tr>
      <w:tr>
        <w:trPr/>
        <w:tc>
          <w:tcPr>
            <w:tcW w:w="2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interest-earning assets</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1,390</w:t>
            </w:r>
          </w:p>
        </w:tc>
        <w:tc>
          <w:tcPr>
            <w:tcW w:w="36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1,326</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3,564</w:t>
            </w:r>
          </w:p>
        </w:tc>
        <w:tc>
          <w:tcPr>
            <w:tcW w:w="36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3,838</w:t>
            </w:r>
          </w:p>
        </w:tc>
      </w:tr>
      <w:tr>
        <w:trPr/>
        <w:tc>
          <w:tcPr>
            <w:tcW w:w="271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Interest-bearing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45" w:type="dxa"/>
            <w:tcBorders/>
            <w:shd w:fill="CCEEFF" w:val="clear"/>
            <w:vAlign w:val="center"/>
          </w:tcPr>
          <w:p>
            <w:pPr>
              <w:pStyle w:val="TableContents"/>
              <w:bidi w:val="0"/>
              <w:spacing w:before="0" w:after="0"/>
              <w:ind w:left="0" w:right="0" w:hanging="0"/>
              <w:jc w:val="right"/>
              <w:rPr/>
            </w:pPr>
            <w:r>
              <w:rPr/>
              <w:t>  ​</w:t>
            </w:r>
          </w:p>
        </w:tc>
      </w:tr>
      <w:tr>
        <w:trPr/>
        <w:tc>
          <w:tcPr>
            <w:tcW w:w="2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demand deposits</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r>
      <w:tr>
        <w:trPr/>
        <w:tc>
          <w:tcPr>
            <w:tcW w:w="27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Money market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(2,306)</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(1,840)</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(2,092)</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(3,932)</w:t>
            </w:r>
          </w:p>
        </w:tc>
      </w:tr>
      <w:tr>
        <w:trPr/>
        <w:tc>
          <w:tcPr>
            <w:tcW w:w="2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Savings deposits</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1,946</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447</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2,393</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3,182</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848</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4,030</w:t>
            </w:r>
          </w:p>
        </w:tc>
      </w:tr>
      <w:tr>
        <w:trPr/>
        <w:tc>
          <w:tcPr>
            <w:tcW w:w="27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Certificates of deposit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(1,019)</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(1,966)</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(2,265)</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(1,215)</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(3,480)</w:t>
            </w:r>
          </w:p>
        </w:tc>
      </w:tr>
      <w:tr>
        <w:trPr/>
        <w:tc>
          <w:tcPr>
            <w:tcW w:w="2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interest-bearing deposits</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(1,830)</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(1,914)</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(704)</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(2,338)</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(3,042)</w:t>
            </w:r>
          </w:p>
        </w:tc>
      </w:tr>
      <w:tr>
        <w:trPr/>
        <w:tc>
          <w:tcPr>
            <w:tcW w:w="27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6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745" w:type="dxa"/>
            <w:tcBorders/>
            <w:shd w:fill="CCEEFF" w:val="clear"/>
            <w:vAlign w:val="center"/>
          </w:tcPr>
          <w:p>
            <w:pPr>
              <w:pStyle w:val="TableContents"/>
              <w:bidi w:val="0"/>
              <w:spacing w:before="0" w:after="0"/>
              <w:ind w:left="0" w:right="0" w:hanging="0"/>
              <w:jc w:val="right"/>
              <w:rPr/>
            </w:pPr>
            <w:r>
              <w:rPr/>
              <w:t>  ​</w:t>
            </w:r>
          </w:p>
        </w:tc>
      </w:tr>
      <w:tr>
        <w:trPr/>
        <w:tc>
          <w:tcPr>
            <w:tcW w:w="2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Federal Home Loan Bank advances</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(937)</w:t>
            </w:r>
          </w:p>
        </w:tc>
        <w:tc>
          <w:tcPr>
            <w:tcW w:w="3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w:t>
            </w:r>
          </w:p>
        </w:tc>
      </w:tr>
      <w:tr>
        <w:trPr/>
        <w:tc>
          <w:tcPr>
            <w:tcW w:w="27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Subordinated notes</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w:t>
            </w:r>
          </w:p>
        </w:tc>
      </w:tr>
      <w:tr>
        <w:trPr/>
        <w:tc>
          <w:tcPr>
            <w:tcW w:w="27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interest-bearing liabilities</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w:t>
            </w:r>
          </w:p>
        </w:tc>
        <w:tc>
          <w:tcPr>
            <w:tcW w:w="36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(1,754)</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(1,956)</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w:t>
            </w:r>
          </w:p>
        </w:tc>
        <w:tc>
          <w:tcPr>
            <w:tcW w:w="36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(2,251)</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(3,717)</w:t>
            </w:r>
          </w:p>
        </w:tc>
      </w:tr>
      <w:tr>
        <w:trPr/>
        <w:tc>
          <w:tcPr>
            <w:tcW w:w="27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net 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1,592</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1,690</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3,282</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5,030</w:t>
            </w:r>
          </w:p>
        </w:tc>
        <w:tc>
          <w:tcPr>
            <w:tcW w:w="36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7,555</w:t>
            </w:r>
          </w:p>
        </w:tc>
      </w:tr>
    </w:tbl>
    <w:p>
      <w:pPr>
        <w:pStyle w:val="TextBody"/>
        <w:bidi w:val="0"/>
        <w:spacing w:before="0" w:after="5"/>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 for the Three and Six Months Ended June 30, 2026 and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Summary Income Statements</w:t>
      </w:r>
      <w:r>
        <w:rPr>
          <w:rFonts w:ascii="Times New Roman;Times;serif" w:hAnsi="Times New Roman;Times;serif"/>
          <w:b/>
          <w:sz w:val="20"/>
        </w:rPr>
        <w:t xml:space="preserv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income summary for the periods indicated:</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158"/>
        <w:gridCol w:w="196"/>
        <w:gridCol w:w="604"/>
        <w:gridCol w:w="346"/>
        <w:gridCol w:w="196"/>
        <w:gridCol w:w="601"/>
        <w:gridCol w:w="346"/>
        <w:gridCol w:w="196"/>
        <w:gridCol w:w="578"/>
        <w:gridCol w:w="346"/>
        <w:gridCol w:w="661"/>
        <w:gridCol w:w="256"/>
        <w:gridCol w:w="346"/>
        <w:gridCol w:w="196"/>
        <w:gridCol w:w="604"/>
        <w:gridCol w:w="346"/>
        <w:gridCol w:w="196"/>
        <w:gridCol w:w="601"/>
        <w:gridCol w:w="346"/>
        <w:gridCol w:w="196"/>
        <w:gridCol w:w="578"/>
        <w:gridCol w:w="346"/>
        <w:gridCol w:w="661"/>
        <w:gridCol w:w="305"/>
      </w:tblGrid>
      <w:tr>
        <w:trPr/>
        <w:tc>
          <w:tcPr>
            <w:tcW w:w="1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735330" cy="175260"/>
                      <wp:effectExtent l="0" t="0" r="0" b="0"/>
                      <wp:wrapNone/>
                      <wp:docPr id="843" name="Frame843"/>
                      <a:graphic xmlns:a="http://schemas.openxmlformats.org/drawingml/2006/main">
                        <a:graphicData uri="http://schemas.microsoft.com/office/word/2010/wordprocessingShape">
                          <wps:wsp>
                            <wps:cNvSpPr txBox="1"/>
                            <wps:spPr>
                              <a:xfrm>
                                <a:off x="0" y="0"/>
                                <a:ext cx="735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24460" cy="175260"/>
                      <wp:effectExtent l="0" t="0" r="0" b="0"/>
                      <wp:wrapNone/>
                      <wp:docPr id="844" name="Frame8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383540" cy="175260"/>
                      <wp:effectExtent l="0" t="0" r="0" b="0"/>
                      <wp:wrapNone/>
                      <wp:docPr id="845" name="Frame845"/>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219710" cy="175260"/>
                      <wp:effectExtent l="0" t="0" r="0" b="0"/>
                      <wp:wrapNone/>
                      <wp:docPr id="846" name="Frame8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124460" cy="175260"/>
                      <wp:effectExtent l="0" t="0" r="0" b="0"/>
                      <wp:wrapNone/>
                      <wp:docPr id="847" name="Frame8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381635" cy="175260"/>
                      <wp:effectExtent l="0" t="0" r="0" b="0"/>
                      <wp:wrapNone/>
                      <wp:docPr id="848" name="Frame84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219710" cy="175260"/>
                      <wp:effectExtent l="0" t="0" r="0" b="0"/>
                      <wp:wrapNone/>
                      <wp:docPr id="849" name="Frame8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124460" cy="175260"/>
                      <wp:effectExtent l="0" t="0" r="0" b="0"/>
                      <wp:wrapNone/>
                      <wp:docPr id="850" name="Frame8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367030" cy="175260"/>
                      <wp:effectExtent l="0" t="0" r="0" b="0"/>
                      <wp:wrapNone/>
                      <wp:docPr id="851" name="Frame851"/>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219710" cy="175260"/>
                      <wp:effectExtent l="0" t="0" r="0" b="0"/>
                      <wp:wrapNone/>
                      <wp:docPr id="852" name="Frame8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419735" cy="175260"/>
                      <wp:effectExtent l="0" t="0" r="0" b="0"/>
                      <wp:wrapNone/>
                      <wp:docPr id="853" name="Frame85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162560" cy="175260"/>
                      <wp:effectExtent l="0" t="0" r="0" b="0"/>
                      <wp:wrapNone/>
                      <wp:docPr id="854" name="Frame85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219710" cy="175260"/>
                      <wp:effectExtent l="0" t="0" r="0" b="0"/>
                      <wp:wrapNone/>
                      <wp:docPr id="855" name="Frame8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124460" cy="175260"/>
                      <wp:effectExtent l="0" t="0" r="0" b="0"/>
                      <wp:wrapNone/>
                      <wp:docPr id="856" name="Frame8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383540" cy="175260"/>
                      <wp:effectExtent l="0" t="0" r="0" b="0"/>
                      <wp:wrapNone/>
                      <wp:docPr id="857" name="Frame857"/>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219710" cy="175260"/>
                      <wp:effectExtent l="0" t="0" r="0" b="0"/>
                      <wp:wrapNone/>
                      <wp:docPr id="858" name="Frame8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124460" cy="175260"/>
                      <wp:effectExtent l="0" t="0" r="0" b="0"/>
                      <wp:wrapNone/>
                      <wp:docPr id="859" name="Frame8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381635" cy="175260"/>
                      <wp:effectExtent l="0" t="0" r="0" b="0"/>
                      <wp:wrapNone/>
                      <wp:docPr id="860" name="Frame86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219710" cy="175260"/>
                      <wp:effectExtent l="0" t="0" r="0" b="0"/>
                      <wp:wrapNone/>
                      <wp:docPr id="861" name="Frame8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124460" cy="175260"/>
                      <wp:effectExtent l="0" t="0" r="0" b="0"/>
                      <wp:wrapNone/>
                      <wp:docPr id="862" name="Frame8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367030" cy="175260"/>
                      <wp:effectExtent l="0" t="0" r="0" b="0"/>
                      <wp:wrapNone/>
                      <wp:docPr id="863" name="Frame863"/>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219710" cy="175260"/>
                      <wp:effectExtent l="0" t="0" r="0" b="0"/>
                      <wp:wrapNone/>
                      <wp:docPr id="864" name="Frame8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419735" cy="175260"/>
                      <wp:effectExtent l="0" t="0" r="0" b="0"/>
                      <wp:wrapNone/>
                      <wp:docPr id="865" name="Frame86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193675" cy="175260"/>
                      <wp:effectExtent l="0" t="0" r="0" b="0"/>
                      <wp:wrapNone/>
                      <wp:docPr id="866" name="Frame866"/>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8" w:type="dxa"/>
            <w:tcBorders/>
            <w:vAlign w:val="center"/>
          </w:tcPr>
          <w:p>
            <w:pPr>
              <w:pStyle w:val="TableContents"/>
              <w:bidi w:val="0"/>
              <w:spacing w:before="0" w:after="1"/>
              <w:ind w:left="0" w:right="0" w:hanging="0"/>
              <w:jc w:val="left"/>
              <w:rPr/>
            </w:pPr>
            <w:r>
              <w:rPr/>
              <w:t>​</w:t>
            </w:r>
          </w:p>
        </w:tc>
        <w:tc>
          <w:tcPr>
            <w:tcW w:w="4070"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5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4070"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05" w:type="dxa"/>
            <w:tcBorders/>
            <w:vAlign w:val="center"/>
          </w:tcPr>
          <w:p>
            <w:pPr>
              <w:pStyle w:val="TableContents"/>
              <w:bidi w:val="0"/>
              <w:spacing w:before="0" w:after="1"/>
              <w:ind w:left="0" w:right="0" w:hanging="0"/>
              <w:jc w:val="left"/>
              <w:rPr/>
            </w:pPr>
            <w:r>
              <w:rPr/>
              <w:t> </w:t>
            </w:r>
          </w:p>
        </w:tc>
      </w:tr>
      <w:tr>
        <w:trPr/>
        <w:tc>
          <w:tcPr>
            <w:tcW w:w="1158" w:type="dxa"/>
            <w:tcBorders/>
            <w:vAlign w:val="center"/>
          </w:tcPr>
          <w:p>
            <w:pPr>
              <w:pStyle w:val="TableContents"/>
              <w:bidi w:val="0"/>
              <w:spacing w:before="0" w:after="1"/>
              <w:ind w:left="0" w:right="0" w:hanging="0"/>
              <w:jc w:val="left"/>
              <w:rPr/>
            </w:pPr>
            <w:r>
              <w:rPr/>
              <w:t>​</w:t>
            </w:r>
          </w:p>
        </w:tc>
        <w:tc>
          <w:tcPr>
            <w:tcW w:w="4070"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70"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05" w:type="dxa"/>
            <w:tcBorders/>
            <w:vAlign w:val="center"/>
          </w:tcPr>
          <w:p>
            <w:pPr>
              <w:pStyle w:val="TableContents"/>
              <w:bidi w:val="0"/>
              <w:spacing w:before="0" w:after="1"/>
              <w:ind w:left="0" w:right="0" w:hanging="0"/>
              <w:jc w:val="left"/>
              <w:rPr/>
            </w:pPr>
            <w:r>
              <w:rPr/>
              <w:t>​</w:t>
            </w:r>
          </w:p>
        </w:tc>
      </w:tr>
      <w:tr>
        <w:trPr/>
        <w:tc>
          <w:tcPr>
            <w:tcW w:w="1158"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8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78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05" w:type="dxa"/>
            <w:tcBorders/>
            <w:vAlign w:val="center"/>
          </w:tcPr>
          <w:p>
            <w:pPr>
              <w:pStyle w:val="TableContents"/>
              <w:bidi w:val="0"/>
              <w:spacing w:before="0" w:after="1"/>
              <w:ind w:left="0" w:right="0" w:hanging="0"/>
              <w:jc w:val="left"/>
              <w:rPr/>
            </w:pPr>
            <w:r>
              <w:rPr/>
              <w:t>​</w:t>
            </w:r>
          </w:p>
        </w:tc>
      </w:tr>
      <w:tr>
        <w:trPr/>
        <w:tc>
          <w:tcPr>
            <w:tcW w:w="1158" w:type="dxa"/>
            <w:tcBorders/>
            <w:vAlign w:val="center"/>
          </w:tcPr>
          <w:p>
            <w:pPr>
              <w:pStyle w:val="TableContents"/>
              <w:bidi w:val="0"/>
              <w:spacing w:before="0" w:after="1"/>
              <w:ind w:left="0" w:right="0" w:hanging="0"/>
              <w:jc w:val="left"/>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05" w:type="dxa"/>
            <w:tcBorders/>
            <w:vAlign w:val="center"/>
          </w:tcPr>
          <w:p>
            <w:pPr>
              <w:pStyle w:val="TableContents"/>
              <w:bidi w:val="0"/>
              <w:spacing w:before="0" w:after="1"/>
              <w:ind w:left="0" w:right="0" w:hanging="0"/>
              <w:jc w:val="left"/>
              <w:rPr/>
            </w:pPr>
            <w:r>
              <w:rPr/>
              <w:t>​</w:t>
            </w:r>
          </w:p>
        </w:tc>
      </w:tr>
      <w:tr>
        <w:trPr/>
        <w:tc>
          <w:tcPr>
            <w:tcW w:w="10205" w:type="dxa"/>
            <w:gridSpan w:val="24"/>
            <w:tcBorders/>
            <w:vAlign w:val="center"/>
          </w:tcPr>
          <w:p>
            <w:pPr>
              <w:pStyle w:val="TableContents"/>
              <w:bidi w:val="0"/>
              <w:spacing w:before="0" w:after="283"/>
              <w:ind w:left="0" w:right="0" w:hanging="0"/>
              <w:jc w:val="left"/>
              <w:rPr>
                <w:sz w:val="4"/>
                <w:szCs w:val="4"/>
              </w:rPr>
            </w:pPr>
            <w:r>
              <w:rPr>
                <w:sz w:val="4"/>
                <w:szCs w:val="4"/>
              </w:rPr>
            </w:r>
          </w:p>
        </w:tc>
      </w:tr>
      <w:tr>
        <w:trPr/>
        <w:tc>
          <w:tcPr>
            <w:tcW w:w="1158" w:type="dxa"/>
            <w:tcBorders/>
            <w:vAlign w:val="center"/>
          </w:tcPr>
          <w:p>
            <w:pPr>
              <w:pStyle w:val="TableContents"/>
              <w:bidi w:val="0"/>
              <w:spacing w:before="0" w:after="1"/>
              <w:ind w:left="0" w:right="0" w:hanging="0"/>
              <w:jc w:val="left"/>
              <w:rPr/>
            </w:pPr>
            <w:r>
              <w:rPr/>
              <w:t>​</w:t>
            </w:r>
          </w:p>
        </w:tc>
        <w:tc>
          <w:tcPr>
            <w:tcW w:w="8742" w:type="dxa"/>
            <w:gridSpan w:val="2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05" w:type="dxa"/>
            <w:tcBorders/>
            <w:vAlign w:val="center"/>
          </w:tcPr>
          <w:p>
            <w:pPr>
              <w:pStyle w:val="TableContents"/>
              <w:bidi w:val="0"/>
              <w:spacing w:before="0" w:after="1"/>
              <w:ind w:left="0" w:right="0" w:hanging="0"/>
              <w:jc w:val="left"/>
              <w:rPr/>
            </w:pPr>
            <w:r>
              <w:rPr/>
              <w:t>​</w:t>
            </w:r>
          </w:p>
        </w:tc>
      </w:tr>
      <w:tr>
        <w:trPr/>
        <w:tc>
          <w:tcPr>
            <w:tcW w:w="11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68,969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65,131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Interest expense </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12,646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16,363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(3,717)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w:t>
            </w:r>
          </w:p>
        </w:tc>
        <w:tc>
          <w:tcPr>
            <w:tcW w:w="3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interest income</w:t>
            </w:r>
          </w:p>
        </w:tc>
        <w:tc>
          <w:tcPr>
            <w:tcW w:w="196"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48,768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Provision (credit) for credit losses </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(162.6)</w:t>
            </w:r>
          </w:p>
        </w:tc>
        <w:tc>
          <w:tcPr>
            <w:tcW w:w="3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Noninterest income </w:t>
            </w:r>
          </w:p>
        </w:tc>
        <w:tc>
          <w:tcPr>
            <w:tcW w:w="196"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(7,923)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(8,102)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Noninterest expense </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16,754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5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Provision for income taxes </w:t>
            </w:r>
          </w:p>
        </w:tc>
        <w:tc>
          <w:tcPr>
            <w:tcW w:w="196"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(5,227)</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(78.9)</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5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13,659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3,198</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5,778</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w:t>
            </w:r>
          </w:p>
        </w:tc>
        <w:tc>
          <w:tcPr>
            <w:tcW w:w="3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General. </w:t>
      </w:r>
      <w:r>
        <w:rPr>
          <w:rFonts w:ascii="Times New Roman;Times;serif" w:hAnsi="Times New Roman;Times;serif"/>
          <w:sz w:val="20"/>
        </w:rPr>
        <w:t xml:space="preserve">Net income increased $3.2 million, or 30.6%, to $13.7 million for the three months ended June 30, 2026 from $10.5 million for the three months ended June 30, 2025. The increase was driven primarily by an increase of $3.3 million related to net interest income growth, a decrease of $5.2 million in provision for income taxes and a decrease of $3.1 million in provision for credit losses on loans, partially offset by a decrease of $7.9 million in noninterest income and an increase of $515 thousand in noninterest expense in the current period. Net income for the six months ended June 30, 2026 was $24.9 million, as compared to $19.2 million for the same period in 2025. The overall increase was driven by $7.6 million of net interest income growth combined with decreased provision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income taxes of $4.5 million and a decreased provision for credit losses on loans of $3.8 million, partially offset by a decrease in noninterest income of $8.1 million and an increase of $1.9 million in noninterest expense during the first six months of 2026 as compared to the same prior year period.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Interest income increased $1.3 million, or 4.0%, to $34.5 million for the three months ended June 30, 2026 from $33.2 million for the three months ended June 30, 2025. This increase was driven by a $84.0 million increase in the balance of average interest-earning assets between the two periods. Within the average balance of interest-earning assets, the average balance of loans grew $89.7 million, or 4.8%, between the three months ended June 30, 2026 and June 30, 2025. During the current period, the average yield of interest-earning assets increased by three basis points from 5.36% for the three months ended June 30, 2025 to 5.39% for the three months ended June 30, 2026 as a result primarily of increased yields and fees associated with loans originated in 2025 and the early part of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increased $3.8 million, or 5.9%, for the six months ended June 30, 2026 reaching $68.9 million from $65.1 million for the six months ended June 30, 2025. This increase was driven by a $113.1 million increase in the balance of average interest-earning assets between the two periods. Within the average balance of interest-earning assets, the average balance of loans receivable grew $107.4 million, or 5.8%, between the six months ended June 30, 2026 and June 30, 2025. During the period, the average yield of interest-earning assets increased by six basis points from 5.35% for the six months ended June 30, 2025 to 5.41% for the six months ended June 30, 2026 as a result primarily of increased yields and fees associated with loans originated in 2025 and the early part of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on loans increased by $1.5 million, or 5.4%, to $29.6 million during the three months ended June 30, 2026 from $28.1 million during the three months ended June 30, 2025. The increase in interest income on loans was primarily due to the increase in the average balance of loans combined with higher yields during the current period. The average balance of these loans increased by $89.7 million, or 4.8%, to $2.0 billion for the three months ended June 30, 2026 compared to the three months ended June 30, 2025. The increase in the average balance of loans was due to growth in multi-family, commercial real estate, home equity lines of credit as well as growth in our consumer installment loan portfolio. The average yield on loans increased by three basis points to 6.03% for the three months ended June 30, 2026 from 6.00% for the three months ended June 30, 2025 as a result of disciplined loan pricing during 2025 and the first quarter of 2026.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2026, interest income on loans, increased by $4.0 million, or 7.2%, reaching $59.4 million as compared to $55.4 million for the six months ended June 30, 2025. The increase in interest income on loans represents the impact of growth in average loan balances of $107.4 million between the six months ended June 30, 2026 and June 30, 2025. The increase in average loans outstanding was due to growth in multi-family, commercial real estate and home equity lines. The average yield on loans increased by nine basis points to 6.11% for the six months ended June 30, 2026 from 6.02% for the six months ended June 30, 2025 as a result of disciplined loan pricing during 2026.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on securities including restricted stock decreased by $346 thousand to $2.9 million during the three months ended June 30, 2026 from $3.3 million during the three months ended June 30, 2025. The decrease in interest income on securities was driven primarily by a decrease in the average balances of securities outstanding during the current period due to investment repayments and certain maturities. The average balance of securities decreased by $28.7 million, or 6.5%, to $409.7 million for the three months ended June 30, 2026 compared to $438.4 million for the three months ended June 30, 2025. The average yield on investment securities decreased by 13 basis points to 2.88% for the three months ended June 30, 2026 from 3.01% for the three months ended June 30, 2025. The decrease in the average yield on investment securities reflected the continued repayments and maturities of higher yielding securities during the three months ended June 30,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2026, interest income on securities including restricted stock decreased by $601 thousand to $5.9 million during the period from $6.5 million during the six months ended June 30, 2025. The decrease in interest income on securities was due to a decrease in the average balances of securities during the current period and a decrease in the average rate paid on such investments. The average balance of securities decreased by $27.7 million, or 6.2%, to $416.4 million for the six months ended June 30, 2026 compared to $444.1 million for the six months ended June 30, 2025, due to investment prepayments and certain securities maturities during the six months ended June 30, 2026. The average yield on investment securities decreased by 10 basis points from 2.97% for the six months ended June 30, 2025 to 2.87% for the six months ended June 30, 2026. The decrease in the average yield on securities was related to the repayments and maturities of higher yielding securities during the first half of 2026.</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Interest Expense. </w:t>
      </w:r>
      <w:r>
        <w:rPr>
          <w:rFonts w:ascii="Times New Roman;Times;serif" w:hAnsi="Times New Roman;Times;serif"/>
          <w:sz w:val="20"/>
        </w:rPr>
        <w:t>Interest expense decreased $2.0 million, or 24.2%, to $6.1 million for the three months ended June 30, 2026 from $8.1 million for the three months ended June 30, 2025. The decreased interest expense was primarily due to the continued reduction of interest costs associated with lower average balances in deposits and FHLB advances, offset by increased interest cost and higher average balances of subordinated notes. The average rate paid on interest-bearing liabilities decreased 41 basis points to 1.52% during the three months ended June 30, 2026 as compared to 1.93% for the three month period ended June 30, 2025. The average balance of interest-bearing liabilities decreased by $54.9 million, or 3.3%, to $1.6 billion for the three months ended June 30, 2026 as compared to the three months ended June 30,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decreased $3.7 million, or 22.7%, to $12.7 million for the six months ended June 30, 2026 from $16.4 million for the six months ended June 30, 2025. The decrease in interest expense reflects the lower interest rate environment combined with the continuing effect of increased core deposits, specifically noninterest-bearing deposits on overall deposit expense with lower funding costs during the period. The average rate paid on interest-bearing liabilities decreased 42 basis points to 1.57% during the six months ended June 30, 2026 as compared to 1.99% for the six month period ended June 30, 2025. The average balance of interest-bearing liabilities decreased by $32.7 million, or 2.0%, to $1.6 billion for the six months ended June 30, 2026 as compared to $1.7 billion for the six months ended June 30, 2025.</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on interest-bearing deposits decreased by $1.9 million to $5.6 million for the three months ended June 30, 2026 from $7.5 million for the three months ended June 30, 2025. The decrease in interest expense on interest-bearing deposits was due mainly to a decrease in the average rate on interest-bearing deposits during the current period. The average rate of interest-bearing deposits decreased 44 basis points to 1.41% during the three months ended June 30, 2026 as compared to 1.85% for the three months ended June 30, 2025 as a result of the lower interest rate environment. The average balance of interest-bearing deposits decreased by $39.2 million, or 2.4%, to $1.6 billion for the three months ended June 30, 2026 and remained leveled as compared to the three months ended June 30, 2025 as a result of the decreases in the average balances of certificates of deposit, which included lower levels of brokered deposits at higher rates. </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on interest-bearing deposits decreased by $3.0 million to $11.6 million for the six months ended June 30, 2026 from $14.6 million for the six months ended June 30, 2025. The decrease in interest expense on interest-bearing deposits was due mainly to a decrease in the average rate on interest-bearing deposits during the current period. The average rate of interest-bearing deposits decreased 39 basis points to 1.47% for the six months ended June 30, 2026 as compared to 1.86% for the six months ended June 30, 2025 as a result of the lower interest rate environment. The average balance of interest-bearing deposits increased by $10.1 million, or 0.6%, to $1.6 billion for the six months ended June 30, 2026 and remained leveled as compared to the six months ended June 30, 2025, primarily as a result of the increases in the average balances of interest bearing demand deposits and savings deposit accounts. </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recorded interest expense of $430 thousand during the three months ended June 30, 2026 related to subordinated debt as compared to $231 thousand in interest expense for the three months ended June 30, 2025. The increase was related to the issuance in September 2025 of $25.0 million in outstanding subordinated notes. In addition, we expensed $860 thousand and $461 thousand in interest expense for the six months ended June 30, 2026 and June 30, 2025, respectively. The increased interest costs represent the debt service required as part of the 2025 subordinated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interest expense related to FHLB advances in the second quarter of 2026 decreased $241 thousand to $134 thousand at an average cost of 3.95% as compared to interest expense of $375 thousand at an average cost of 4.38% for the same period in 2025. The decrease in FHLB expense in the second quarter of 2026 was primarily due to a decrease of $20.7 million in the average balance of such advances and a decrease in the average cost paid on FHLB advances. The decrease in average FHLB balance was the direct result of Management being able to replace higher cost FHLB borrowings with lower cost deposits and reduce interest expense during the current period. Although borrowings remain a potential source of strategic funding for the Company, the reduction in borrowings during the quarter reflects the ability of the Company to increase deposits and strategically reduce related interest costs.</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interest expense related to FHLB advances for the first six months of 2026 decreased $1.1 million to $232 thousand at an average cost of 3.96% as compared to interest expense of $1.3 million at an average cost of 4.42% for the same period in 2025. The decrease in FHLB expense for the first six months of 2026 was primarily due to a decrease of $47.7 million in the average balance of such advances and a decrease in the average cost paid on FHLB advances. The decrease in average FHLB balance was the direct result of Management being able to replace higher cost FHLB borrowings with lower cost deposits and reduce interest expense during the current period.</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Net Interest Income.  </w:t>
      </w:r>
      <w:r>
        <w:rPr>
          <w:rFonts w:ascii="Times New Roman;Times;serif" w:hAnsi="Times New Roman;Times;serif"/>
          <w:sz w:val="20"/>
        </w:rPr>
        <w:t>Net interest income increased $3.3 million, or 13.1%, to $28.4 million for the three months ended June 30, 2026 from $25.1 million for the three months ended June 30, 2025 due to the increase in income from average interest earning assets and the reduction of interest costs associated with interest bearing liabilities. Net interest rate spread increased by 44 basis points to 3.87% for the three months ended June 30, 2026 from 3.43% for the three months ended June 30, 2025, reflecting a three basis points increase in the average yield on interest-earning assets combined with a 41 basis points decrease in the average rate paid on interest-bearing liabilities. The net interest margin rose by 38 basis points to 4.44% for the three months ended June 30, 2026 from 4.06% for the three months ended June 30, 2025 due to the lower interest rate environment for short term funding, the impact of managed funding and deposit cost, and increased yields on the lending portfolio during the current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2026, net interest income increased $7.6 million, or 15.5%, to $56.3 million from $48.7 million for the six months ended June 30, 2025 due to an increase in net interest margin combined with increased average interest earning assets for the current period. The net interest margin increased 42 basis points to 4.42% for the six months ended June 30, 2026 from 4.00% for the six months ended June 30, 2025. Net interest rate spread grew by 48 basis points to 3.84% for the six months ended June 30, 2026 from 3.36% for the six months ended June 30, 2025.</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Provision for Credit  Losses. </w:t>
      </w:r>
      <w:r>
        <w:rPr>
          <w:rFonts w:ascii="Times New Roman;Times;serif" w:hAnsi="Times New Roman;Times;serif"/>
          <w:sz w:val="20"/>
        </w:rPr>
        <w:t>The Company recognized a net recovery of $1.0 million in the provision for credit losses during the three months ended June 30, 2026, compared to a provision of $2.1 million for the three months ended June 30, 2025. The decreased provision for the three months ended June 30, 2026 was primarily a result of slower loan growth combined with lower reserves associated with the composition of loans closed during the second quarter of 2026. The allowance for credit losses to total loans was 1.38% as of June 30, 2026, a decrease of seven basis points, or 4.83%, versus 1.45% as of December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the six months ended June 30, 2026, the Company recognized a net recovery of $1.5 million in the provision for credit losses as compared to a $2.3 million provision for the six months ended June 30, 2025. The decreased provision for the six months ended June 30, 2026 represented the effect of lower levels of specific reserves associated with certain composition of loans closed during the first half of 2026 as compared to the six months ended June 30, 2025 offset by loan portfolio growth during the current period. </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Noninterest Income. </w:t>
      </w:r>
      <w:r>
        <w:rPr>
          <w:rFonts w:ascii="Times New Roman;Times;serif" w:hAnsi="Times New Roman;Times;serif"/>
          <w:sz w:val="20"/>
        </w:rPr>
        <w:t>Noninterest income information is as follows:</w:t>
      </w:r>
    </w:p>
    <w:tbl>
      <w:tblPr>
        <w:tblW w:w="10205" w:type="dxa"/>
        <w:jc w:val="left"/>
        <w:tblInd w:w="0" w:type="dxa"/>
        <w:tblLayout w:type="fixed"/>
        <w:tblCellMar>
          <w:top w:w="0" w:type="dxa"/>
          <w:left w:w="0" w:type="dxa"/>
          <w:bottom w:w="0" w:type="dxa"/>
          <w:right w:w="0" w:type="dxa"/>
        </w:tblCellMar>
      </w:tblPr>
      <w:tblGrid>
        <w:gridCol w:w="1205"/>
        <w:gridCol w:w="346"/>
        <w:gridCol w:w="196"/>
        <w:gridCol w:w="575"/>
        <w:gridCol w:w="346"/>
        <w:gridCol w:w="196"/>
        <w:gridCol w:w="511"/>
        <w:gridCol w:w="346"/>
        <w:gridCol w:w="196"/>
        <w:gridCol w:w="575"/>
        <w:gridCol w:w="346"/>
        <w:gridCol w:w="661"/>
        <w:gridCol w:w="256"/>
        <w:gridCol w:w="109"/>
        <w:gridCol w:w="196"/>
        <w:gridCol w:w="575"/>
        <w:gridCol w:w="346"/>
        <w:gridCol w:w="196"/>
        <w:gridCol w:w="601"/>
        <w:gridCol w:w="346"/>
        <w:gridCol w:w="196"/>
        <w:gridCol w:w="575"/>
        <w:gridCol w:w="346"/>
        <w:gridCol w:w="661"/>
        <w:gridCol w:w="303"/>
      </w:tblGrid>
      <w:tr>
        <w:trPr/>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765175" cy="175260"/>
                      <wp:effectExtent l="0" t="0" r="0" b="0"/>
                      <wp:wrapNone/>
                      <wp:docPr id="867" name="Frame867"/>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219710" cy="175260"/>
                      <wp:effectExtent l="0" t="0" r="0" b="0"/>
                      <wp:wrapNone/>
                      <wp:docPr id="868" name="Frame8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124460" cy="175260"/>
                      <wp:effectExtent l="0" t="0" r="0" b="0"/>
                      <wp:wrapNone/>
                      <wp:docPr id="869" name="Frame8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365125" cy="175260"/>
                      <wp:effectExtent l="0" t="0" r="0" b="0"/>
                      <wp:wrapNone/>
                      <wp:docPr id="870" name="Frame870"/>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219710" cy="175260"/>
                      <wp:effectExtent l="0" t="0" r="0" b="0"/>
                      <wp:wrapNone/>
                      <wp:docPr id="871" name="Frame8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124460" cy="175260"/>
                      <wp:effectExtent l="0" t="0" r="0" b="0"/>
                      <wp:wrapNone/>
                      <wp:docPr id="872" name="Frame8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324485" cy="175260"/>
                      <wp:effectExtent l="0" t="0" r="0" b="0"/>
                      <wp:wrapNone/>
                      <wp:docPr id="873" name="Frame87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219710" cy="175260"/>
                      <wp:effectExtent l="0" t="0" r="0" b="0"/>
                      <wp:wrapNone/>
                      <wp:docPr id="874" name="Frame8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124460" cy="175260"/>
                      <wp:effectExtent l="0" t="0" r="0" b="0"/>
                      <wp:wrapNone/>
                      <wp:docPr id="875" name="Frame8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365125" cy="175260"/>
                      <wp:effectExtent l="0" t="0" r="0" b="0"/>
                      <wp:wrapNone/>
                      <wp:docPr id="876" name="Frame876"/>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219710" cy="175260"/>
                      <wp:effectExtent l="0" t="0" r="0" b="0"/>
                      <wp:wrapNone/>
                      <wp:docPr id="877" name="Frame8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419735" cy="175260"/>
                      <wp:effectExtent l="0" t="0" r="0" b="0"/>
                      <wp:wrapNone/>
                      <wp:docPr id="878" name="Frame87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162560" cy="175260"/>
                      <wp:effectExtent l="0" t="0" r="0" b="0"/>
                      <wp:wrapNone/>
                      <wp:docPr id="879" name="Frame87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69215" cy="175260"/>
                      <wp:effectExtent l="0" t="0" r="0" b="0"/>
                      <wp:wrapNone/>
                      <wp:docPr id="880" name="Frame8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124460" cy="175260"/>
                      <wp:effectExtent l="0" t="0" r="0" b="0"/>
                      <wp:wrapNone/>
                      <wp:docPr id="881" name="Frame8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365125" cy="175260"/>
                      <wp:effectExtent l="0" t="0" r="0" b="0"/>
                      <wp:wrapNone/>
                      <wp:docPr id="882" name="Frame882"/>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219710" cy="175260"/>
                      <wp:effectExtent l="0" t="0" r="0" b="0"/>
                      <wp:wrapNone/>
                      <wp:docPr id="883" name="Frame8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124460" cy="175260"/>
                      <wp:effectExtent l="0" t="0" r="0" b="0"/>
                      <wp:wrapNone/>
                      <wp:docPr id="884" name="Frame8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381635" cy="175260"/>
                      <wp:effectExtent l="0" t="0" r="0" b="0"/>
                      <wp:wrapNone/>
                      <wp:docPr id="885" name="Frame88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219710" cy="175260"/>
                      <wp:effectExtent l="0" t="0" r="0" b="0"/>
                      <wp:wrapNone/>
                      <wp:docPr id="886" name="Frame8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124460" cy="175260"/>
                      <wp:effectExtent l="0" t="0" r="0" b="0"/>
                      <wp:wrapNone/>
                      <wp:docPr id="887" name="Frame8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365125" cy="175260"/>
                      <wp:effectExtent l="0" t="0" r="0" b="0"/>
                      <wp:wrapNone/>
                      <wp:docPr id="888" name="Frame888"/>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219710" cy="175260"/>
                      <wp:effectExtent l="0" t="0" r="0" b="0"/>
                      <wp:wrapNone/>
                      <wp:docPr id="889" name="Frame8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419735" cy="175260"/>
                      <wp:effectExtent l="0" t="0" r="0" b="0"/>
                      <wp:wrapNone/>
                      <wp:docPr id="890" name="Frame89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192405" cy="175260"/>
                      <wp:effectExtent l="0" t="0" r="0" b="0"/>
                      <wp:wrapNone/>
                      <wp:docPr id="891" name="Frame89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17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17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03" w:type="dxa"/>
            <w:tcBorders/>
            <w:vAlign w:val="center"/>
          </w:tcPr>
          <w:p>
            <w:pPr>
              <w:pStyle w:val="TableContents"/>
              <w:bidi w:val="0"/>
              <w:spacing w:before="0" w:after="1"/>
              <w:ind w:left="0" w:right="0" w:hanging="0"/>
              <w:jc w:val="left"/>
              <w:rPr/>
            </w:pPr>
            <w:r>
              <w:rPr/>
              <w:t> </w:t>
            </w:r>
          </w:p>
        </w:tc>
      </w:tr>
      <w:tr>
        <w:trPr/>
        <w:tc>
          <w:tcPr>
            <w:tcW w:w="12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03" w:type="dxa"/>
            <w:tcBorders/>
            <w:vAlign w:val="center"/>
          </w:tcPr>
          <w:p>
            <w:pPr>
              <w:pStyle w:val="TableContents"/>
              <w:bidi w:val="0"/>
              <w:spacing w:before="0" w:after="1"/>
              <w:ind w:left="0" w:right="0" w:hanging="0"/>
              <w:jc w:val="left"/>
              <w:rPr/>
            </w:pPr>
            <w:r>
              <w:rPr/>
              <w:t>​</w:t>
            </w:r>
          </w:p>
        </w:tc>
      </w:tr>
      <w:tr>
        <w:trPr/>
        <w:tc>
          <w:tcPr>
            <w:tcW w:w="12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03" w:type="dxa"/>
            <w:tcBorders/>
            <w:vAlign w:val="center"/>
          </w:tcPr>
          <w:p>
            <w:pPr>
              <w:pStyle w:val="TableContents"/>
              <w:bidi w:val="0"/>
              <w:spacing w:before="0" w:after="1"/>
              <w:ind w:left="0" w:right="0" w:hanging="0"/>
              <w:jc w:val="left"/>
              <w:rPr/>
            </w:pPr>
            <w:r>
              <w:rPr/>
              <w:t>​</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20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351" w:type="dxa"/>
            <w:gridSpan w:val="2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03" w:type="dxa"/>
            <w:tcBorders/>
            <w:vAlign w:val="center"/>
          </w:tcPr>
          <w:p>
            <w:pPr>
              <w:pStyle w:val="TableContents"/>
              <w:bidi w:val="0"/>
              <w:spacing w:before="0" w:after="1"/>
              <w:ind w:left="0" w:right="0" w:hanging="0"/>
              <w:jc w:val="left"/>
              <w:rPr/>
            </w:pPr>
            <w:r>
              <w:rPr/>
              <w:t>​</w:t>
            </w:r>
          </w:p>
        </w:tc>
      </w:tr>
      <w:tr>
        <w:trPr/>
        <w:tc>
          <w:tcPr>
            <w:tcW w:w="1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Service charges on deposit accounts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Trust income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w:t>
            </w:r>
          </w:p>
        </w:tc>
        <w:tc>
          <w:tcPr>
            <w:tcW w:w="3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Investment advisory income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Investment securities gains (losses)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on bank owned life 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bank owned life insurance benefit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(2,399)</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Gain on sale of assets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(1,236)</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Valuation loss on loans held-for-sale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(4,761)</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(4,761)</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0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Total noninterest income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(7,923)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(108.3)</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11,672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(8,102)</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w:t>
            </w:r>
          </w:p>
        </w:tc>
        <w:tc>
          <w:tcPr>
            <w:tcW w:w="3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Noninterest income decreased by $7.9 million, or 108.3%, to a $607 thousand loss for the three months ended June 30, 2026 as compared to $7.3 million for the three months ended June 30, 2025. The decrease of $7.9 million in noninterest income was largely related to a valuation loss of $4.8 million related to loans classified as held-for-sale during the second quarter of 2026 and the recognition of gain associated with the sale of a branch location of $1.2 million coupled with a Bank Owned Life Insurance gain of $2.4 million related to policy proceeds from a death benefit during the prior year period. Our Wealth Management division revenues, which include our Trust and Asset Management businesses also experienced a decrease in income of $178 thousand and represented a 5.2% decrease quarter-over-quarter, to $3.2 million for the second quarter of 2026 as compared to $3.4 million for the second quarter of 2025 as a result of an overall net decrease in assets-under-management. During the same period, assets-under-management decreased to $1.7 billion at June 30, 2026 from $1.8 billion at June 30, 2025.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the six months ended June 30, 2026, noninterest income decreased by $8.1 million, or 69.4%, to $3.6 million as compared to $11.7 million for the six months ended June 30, 2025. Our Wealth Management division revenues decreased and represented a 5.1% decrease to $6.5 million for the six month period ended June 30, 2026 from $6.8 million for the six month period ended June 30,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reduction in assets under management, primarily due to residual effects from last year’s divisional restructuring. The six months ended June 30, 2026 also included the impact associated with a valuation allowance related to loans classified as held-for-sale, and the branch location sale, and the BOLI proceeds, both in the prior year period as described above.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Noninterest Expense. </w:t>
      </w:r>
      <w:r>
        <w:rPr>
          <w:rFonts w:ascii="Times New Roman;Times;serif" w:hAnsi="Times New Roman;Times;serif"/>
          <w:sz w:val="20"/>
        </w:rPr>
        <w:t>Noninterest expense information is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144"/>
        <w:gridCol w:w="346"/>
        <w:gridCol w:w="196"/>
        <w:gridCol w:w="601"/>
        <w:gridCol w:w="346"/>
        <w:gridCol w:w="196"/>
        <w:gridCol w:w="601"/>
        <w:gridCol w:w="346"/>
        <w:gridCol w:w="196"/>
        <w:gridCol w:w="495"/>
        <w:gridCol w:w="346"/>
        <w:gridCol w:w="661"/>
        <w:gridCol w:w="256"/>
        <w:gridCol w:w="109"/>
        <w:gridCol w:w="196"/>
        <w:gridCol w:w="601"/>
        <w:gridCol w:w="346"/>
        <w:gridCol w:w="196"/>
        <w:gridCol w:w="601"/>
        <w:gridCol w:w="346"/>
        <w:gridCol w:w="196"/>
        <w:gridCol w:w="575"/>
        <w:gridCol w:w="346"/>
        <w:gridCol w:w="661"/>
        <w:gridCol w:w="302"/>
      </w:tblGrid>
      <w:tr>
        <w:trPr/>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726440" cy="175260"/>
                      <wp:effectExtent l="0" t="0" r="0" b="0"/>
                      <wp:wrapNone/>
                      <wp:docPr id="892" name="Frame892"/>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219710" cy="175260"/>
                      <wp:effectExtent l="0" t="0" r="0" b="0"/>
                      <wp:wrapNone/>
                      <wp:docPr id="893" name="Frame8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124460" cy="175260"/>
                      <wp:effectExtent l="0" t="0" r="0" b="0"/>
                      <wp:wrapNone/>
                      <wp:docPr id="894" name="Frame8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381635" cy="175260"/>
                      <wp:effectExtent l="0" t="0" r="0" b="0"/>
                      <wp:wrapNone/>
                      <wp:docPr id="895" name="Frame89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219710" cy="175260"/>
                      <wp:effectExtent l="0" t="0" r="0" b="0"/>
                      <wp:wrapNone/>
                      <wp:docPr id="896" name="Frame8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124460" cy="175260"/>
                      <wp:effectExtent l="0" t="0" r="0" b="0"/>
                      <wp:wrapNone/>
                      <wp:docPr id="897" name="Frame8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381635" cy="175260"/>
                      <wp:effectExtent l="0" t="0" r="0" b="0"/>
                      <wp:wrapNone/>
                      <wp:docPr id="898" name="Frame89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219710" cy="175260"/>
                      <wp:effectExtent l="0" t="0" r="0" b="0"/>
                      <wp:wrapNone/>
                      <wp:docPr id="899" name="Frame8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124460" cy="175260"/>
                      <wp:effectExtent l="0" t="0" r="0" b="0"/>
                      <wp:wrapNone/>
                      <wp:docPr id="900" name="Frame9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314325" cy="175260"/>
                      <wp:effectExtent l="0" t="0" r="0" b="0"/>
                      <wp:wrapNone/>
                      <wp:docPr id="901" name="Frame901"/>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219710" cy="175260"/>
                      <wp:effectExtent l="0" t="0" r="0" b="0"/>
                      <wp:wrapNone/>
                      <wp:docPr id="902" name="Frame9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419735" cy="175260"/>
                      <wp:effectExtent l="0" t="0" r="0" b="0"/>
                      <wp:wrapNone/>
                      <wp:docPr id="903" name="Frame90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162560" cy="175260"/>
                      <wp:effectExtent l="0" t="0" r="0" b="0"/>
                      <wp:wrapNone/>
                      <wp:docPr id="904" name="Frame90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69215" cy="175260"/>
                      <wp:effectExtent l="0" t="0" r="0" b="0"/>
                      <wp:wrapNone/>
                      <wp:docPr id="905" name="Frame9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124460" cy="175260"/>
                      <wp:effectExtent l="0" t="0" r="0" b="0"/>
                      <wp:wrapNone/>
                      <wp:docPr id="906" name="Frame9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381635" cy="175260"/>
                      <wp:effectExtent l="0" t="0" r="0" b="0"/>
                      <wp:wrapNone/>
                      <wp:docPr id="907" name="Frame90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219710" cy="175260"/>
                      <wp:effectExtent l="0" t="0" r="0" b="0"/>
                      <wp:wrapNone/>
                      <wp:docPr id="908" name="Frame9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124460" cy="175260"/>
                      <wp:effectExtent l="0" t="0" r="0" b="0"/>
                      <wp:wrapNone/>
                      <wp:docPr id="909" name="Frame9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381635" cy="175260"/>
                      <wp:effectExtent l="0" t="0" r="0" b="0"/>
                      <wp:wrapNone/>
                      <wp:docPr id="910" name="Frame91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219710" cy="175260"/>
                      <wp:effectExtent l="0" t="0" r="0" b="0"/>
                      <wp:wrapNone/>
                      <wp:docPr id="911" name="Frame9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124460" cy="175260"/>
                      <wp:effectExtent l="0" t="0" r="0" b="0"/>
                      <wp:wrapNone/>
                      <wp:docPr id="912" name="Frame9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365125" cy="175260"/>
                      <wp:effectExtent l="0" t="0" r="0" b="0"/>
                      <wp:wrapNone/>
                      <wp:docPr id="913" name="Frame913"/>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219710" cy="175260"/>
                      <wp:effectExtent l="0" t="0" r="0" b="0"/>
                      <wp:wrapNone/>
                      <wp:docPr id="914" name="Frame9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419735" cy="175260"/>
                      <wp:effectExtent l="0" t="0" r="0" b="0"/>
                      <wp:wrapNone/>
                      <wp:docPr id="915" name="Frame91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191770" cy="175260"/>
                      <wp:effectExtent l="0" t="0" r="0" b="0"/>
                      <wp:wrapNone/>
                      <wp:docPr id="916" name="Frame916"/>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6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5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17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02" w:type="dxa"/>
            <w:tcBorders/>
            <w:vAlign w:val="center"/>
          </w:tcPr>
          <w:p>
            <w:pPr>
              <w:pStyle w:val="TableContents"/>
              <w:bidi w:val="0"/>
              <w:spacing w:before="0" w:after="1"/>
              <w:ind w:left="0" w:right="0" w:hanging="0"/>
              <w:jc w:val="left"/>
              <w:rPr/>
            </w:pPr>
            <w:r>
              <w:rPr/>
              <w:t> </w:t>
            </w:r>
          </w:p>
        </w:tc>
      </w:tr>
      <w:tr>
        <w:trPr/>
        <w:tc>
          <w:tcPr>
            <w:tcW w:w="11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2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02" w:type="dxa"/>
            <w:tcBorders/>
            <w:vAlign w:val="center"/>
          </w:tcPr>
          <w:p>
            <w:pPr>
              <w:pStyle w:val="TableContents"/>
              <w:bidi w:val="0"/>
              <w:spacing w:before="0" w:after="1"/>
              <w:ind w:left="0" w:right="0" w:hanging="0"/>
              <w:jc w:val="left"/>
              <w:rPr/>
            </w:pPr>
            <w:r>
              <w:rPr/>
              <w:t>​</w:t>
            </w:r>
          </w:p>
        </w:tc>
      </w:tr>
      <w:tr>
        <w:trPr/>
        <w:tc>
          <w:tcPr>
            <w:tcW w:w="11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25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02" w:type="dxa"/>
            <w:tcBorders/>
            <w:vAlign w:val="center"/>
          </w:tcPr>
          <w:p>
            <w:pPr>
              <w:pStyle w:val="TableContents"/>
              <w:bidi w:val="0"/>
              <w:spacing w:before="0" w:after="1"/>
              <w:ind w:left="0" w:right="0" w:hanging="0"/>
              <w:jc w:val="left"/>
              <w:rPr/>
            </w:pPr>
            <w:r>
              <w:rPr/>
              <w:t> </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1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3" w:type="dxa"/>
            <w:gridSpan w:val="2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02" w:type="dxa"/>
            <w:tcBorders/>
            <w:vAlign w:val="center"/>
          </w:tcPr>
          <w:p>
            <w:pPr>
              <w:pStyle w:val="TableContents"/>
              <w:bidi w:val="0"/>
              <w:spacing w:before="0" w:after="1"/>
              <w:ind w:left="0" w:right="0" w:hanging="0"/>
              <w:jc w:val="left"/>
              <w:rPr/>
            </w:pPr>
            <w:r>
              <w:rPr/>
              <w:t>​</w:t>
            </w:r>
          </w:p>
        </w:tc>
      </w:tr>
      <w:tr>
        <w:trPr/>
        <w:tc>
          <w:tcPr>
            <w:tcW w:w="114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Salaries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14,921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1,203</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Employee benefits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49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28.5</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1,319</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w:t>
            </w:r>
          </w:p>
        </w:tc>
        <w:tc>
          <w:tcPr>
            <w:tcW w:w="3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Professional fees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1,666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49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3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Directors’ fees and expenses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67.7</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532</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Computer software expense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49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4,099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3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FDIC assessment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Advertising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49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Advisor expenses related to trust income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49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Telephone expenses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49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w:t>
            </w:r>
          </w:p>
        </w:tc>
        <w:tc>
          <w:tcPr>
            <w:tcW w:w="3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Intangible amortization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49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(976)</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(89.2)</w:t>
            </w:r>
          </w:p>
        </w:tc>
        <w:tc>
          <w:tcPr>
            <w:tcW w:w="2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(1,187)</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(51.6)</w:t>
            </w:r>
          </w:p>
        </w:tc>
        <w:tc>
          <w:tcPr>
            <w:tcW w:w="3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4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Total noninterest expense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2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1,945</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firstLine="360"/>
        <w:jc w:val="both"/>
        <w:rPr/>
      </w:pPr>
      <w:r>
        <w:rPr/>
        <w:t>​</w:t>
      </w:r>
    </w:p>
    <w:p>
      <w:pPr>
        <w:pStyle w:val="TextBody"/>
        <w:bidi w:val="0"/>
        <w:spacing w:lineRule="atLeast" w:line="220" w:before="0" w:after="220"/>
        <w:ind w:left="0" w:right="0" w:firstLine="360"/>
        <w:jc w:val="both"/>
        <w:rPr>
          <w:rFonts w:ascii="Times New Roman;Times;serif" w:hAnsi="Times New Roman;Times;serif"/>
          <w:sz w:val="20"/>
        </w:rPr>
      </w:pPr>
      <w:r>
        <w:rPr>
          <w:rFonts w:ascii="Times New Roman;Times;serif" w:hAnsi="Times New Roman;Times;serif"/>
          <w:sz w:val="20"/>
        </w:rPr>
        <w:t xml:space="preserve">Non-interest expense was $17.3 million for the second quarter of 2026, reflecting an increase of approximately $515 thousand, or 3.1%, as compared to $16.8 million for the same period in 2025. The increase in non-interest expense for the current three month period was due primarily to continued investment in overall Company growth, including salaries and benefits, Director’s fees and expenses, professional fees, and advertising expense. Our efficiency ratio increased to 62.1% for the three months ended June 30, 2026, from 51.6% for the same period in 2025. </w:t>
      </w:r>
    </w:p>
    <w:p>
      <w:pPr>
        <w:pStyle w:val="TextBody"/>
        <w:bidi w:val="0"/>
        <w:spacing w:lineRule="atLeast" w:line="220" w:before="0" w:after="220"/>
        <w:ind w:left="0" w:right="0" w:firstLine="360"/>
        <w:jc w:val="both"/>
        <w:rPr>
          <w:rFonts w:ascii="Times New Roman;Times;serif" w:hAnsi="Times New Roman;Times;serif"/>
          <w:sz w:val="20"/>
        </w:rPr>
      </w:pPr>
      <w:r>
        <w:rPr>
          <w:rFonts w:ascii="Times New Roman;Times;serif" w:hAnsi="Times New Roman;Times;serif"/>
          <w:sz w:val="20"/>
        </w:rPr>
        <w:t xml:space="preserve">Non-interest expense was $35.2 million for the first half of 2026, reflecting an increase of approximately $1.9 million, or 5.8%, as compared to $33.3 million for the same period in 2025. The increase in non-interest expense for the current six month period was also due to continued investment in overall Company growth, primarily, increases in salaries and benefits, occupancy expense and professional fees, partially offset by a decrease in computer software expense. For the six months ended June 30, 2026, our efficiency ratio was 58.8% as compared to 55.0% for the same period in 2025. </w:t>
      </w:r>
    </w:p>
    <w:p>
      <w:pPr>
        <w:pStyle w:val="TextBody"/>
        <w:bidi w:val="0"/>
        <w:spacing w:lineRule="atLeast" w:line="220" w:before="0" w:after="220"/>
        <w:ind w:left="0" w:right="0" w:firstLine="360"/>
        <w:jc w:val="both"/>
        <w:rPr>
          <w:rFonts w:ascii="Times New Roman;Times;serif" w:hAnsi="Times New Roman;Times;serif"/>
          <w:sz w:val="20"/>
        </w:rPr>
      </w:pPr>
      <w:r>
        <w:rPr>
          <w:rFonts w:ascii="Times New Roman;Times;serif" w:hAnsi="Times New Roman;Times;serif"/>
          <w:b/>
          <w:i/>
          <w:sz w:val="20"/>
        </w:rPr>
        <w:t>Provision for Income Tax.</w:t>
      </w:r>
      <w:r>
        <w:rPr>
          <w:rFonts w:ascii="Times New Roman;Times;serif" w:hAnsi="Times New Roman;Times;serif"/>
          <w:sz w:val="20"/>
        </w:rPr>
        <w:t xml:space="preserve"> Our provision for income taxes for the three months ended June 30, 2026 reflected a credit of $2.1 million, compared to a provision of $3.1 million for the same period in 2025. The decrease in provision was related to the Company’s reversal of the deferred tax valuation allowance. The reversal was based on the financial strength of the Company and sustained history of profitability which demonstrates the likelihood of realizing the benefits of the deferred tax asset. Our effective tax rate for the three month period ended June 30, 2026 was (18.2%), as compared to 23.0% for the same period in 2025.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the six months ended June 30, 2026, our provision for income taxes was $1.2 million, as compared to $5.7 million for the six months ended June 30, 2025. The decrease was related to the Company’s reversal of the deferred tax valuation allowance during the current six month period. During the six months ended June 30, 2026, the Company reevaluated the realizability of its deferred tax assets based on positive and negative evidence under ASC 740. The Company concluded that it is now more likely than not that a portion of our deferred tax assets related to net operating loss carryforwards will be realized. This conclusion was driven by significant positive evidence, including three and one-half years of profitable operations and updated multi-year financial projections. Our effective tax rate for the six-month period ended June 30, 2026 was 4.6%, as compared to 23.0% for the same period in 2025. </w:t>
      </w:r>
    </w:p>
    <w:p>
      <w:pPr>
        <w:pStyle w:val="TextBody"/>
        <w:bidi w:val="0"/>
        <w:spacing w:before="0" w:after="0"/>
        <w:ind w:left="0" w:right="0" w:hanging="0"/>
        <w:jc w:val="both"/>
        <w:rPr/>
      </w:pPr>
      <w:r>
        <w:rPr/>
        <w:t>​</w:t>
      </w:r>
    </w:p>
    <w:p>
      <w:pPr>
        <w:pStyle w:val="TextBody"/>
        <w:bidi w:val="0"/>
        <w:spacing w:before="0" w:after="220"/>
        <w:ind w:left="0" w:right="0" w:firstLine="360"/>
        <w:jc w:val="both"/>
        <w:rPr>
          <w:rFonts w:ascii="Times New Roman;Times;serif" w:hAnsi="Times New Roman;Times;serif"/>
          <w:b/>
          <w:i/>
          <w:sz w:val="20"/>
        </w:rPr>
      </w:pPr>
      <w:r>
        <w:rPr>
          <w:rFonts w:ascii="Times New Roman;Times;serif" w:hAnsi="Times New Roman;Times;serif"/>
          <w:b/>
          <w:i/>
          <w:sz w:val="20"/>
        </w:rPr>
        <w:t>Financial Position and Results of Operations of our Wealth Management Business Segment</w:t>
      </w:r>
    </w:p>
    <w:p>
      <w:pPr>
        <w:pStyle w:val="TextBody"/>
        <w:bidi w:val="0"/>
        <w:spacing w:lineRule="atLeast" w:line="220" w:before="0" w:after="220"/>
        <w:ind w:left="0" w:right="0" w:firstLine="360"/>
        <w:jc w:val="both"/>
        <w:rPr>
          <w:rFonts w:ascii="Times New Roman;Times;serif" w:hAnsi="Times New Roman;Times;serif"/>
          <w:sz w:val="20"/>
        </w:rPr>
      </w:pPr>
      <w:r>
        <w:rPr>
          <w:rFonts w:ascii="Times New Roman;Times;serif" w:hAnsi="Times New Roman;Times;serif"/>
          <w:sz w:val="20"/>
        </w:rPr>
        <w:t>We conduct our business through two business segments: (1) our banking business segment, which involves the delivery of loan and deposit products to our customers through Orange Bank &amp; Trust Company; and (2) our wealth management business segment, which includes asset management and trust services to individuals and institutions through OIA and Orange Bank &amp; Trust Company that provides trust and investment management fee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present the statements of income and total assets for our reportable business segments for the periods indicated:</w:t>
      </w:r>
    </w:p>
    <w:p>
      <w:pPr>
        <w:pStyle w:val="TextBody"/>
        <w:bidi w:val="0"/>
        <w:spacing w:lineRule="atLeast" w:line="220"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834"/>
        <w:gridCol w:w="346"/>
        <w:gridCol w:w="196"/>
        <w:gridCol w:w="826"/>
        <w:gridCol w:w="346"/>
        <w:gridCol w:w="201"/>
        <w:gridCol w:w="850"/>
        <w:gridCol w:w="346"/>
        <w:gridCol w:w="196"/>
        <w:gridCol w:w="826"/>
        <w:gridCol w:w="346"/>
        <w:gridCol w:w="196"/>
        <w:gridCol w:w="826"/>
        <w:gridCol w:w="346"/>
        <w:gridCol w:w="201"/>
        <w:gridCol w:w="850"/>
        <w:gridCol w:w="346"/>
        <w:gridCol w:w="196"/>
        <w:gridCol w:w="931"/>
      </w:tblGrid>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219710" cy="175260"/>
                      <wp:effectExtent l="0" t="0" r="0" b="0"/>
                      <wp:wrapNone/>
                      <wp:docPr id="917" name="Frame9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124460" cy="175260"/>
                      <wp:effectExtent l="0" t="0" r="0" b="0"/>
                      <wp:wrapNone/>
                      <wp:docPr id="918" name="Frame9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524510" cy="175260"/>
                      <wp:effectExtent l="0" t="0" r="0" b="0"/>
                      <wp:wrapNone/>
                      <wp:docPr id="919" name="Frame9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219710" cy="175260"/>
                      <wp:effectExtent l="0" t="0" r="0" b="0"/>
                      <wp:wrapNone/>
                      <wp:docPr id="920" name="Frame9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127635" cy="175260"/>
                      <wp:effectExtent l="0" t="0" r="0" b="0"/>
                      <wp:wrapNone/>
                      <wp:docPr id="921" name="Frame92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539750" cy="175260"/>
                      <wp:effectExtent l="0" t="0" r="0" b="0"/>
                      <wp:wrapNone/>
                      <wp:docPr id="922" name="Frame922"/>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219710" cy="175260"/>
                      <wp:effectExtent l="0" t="0" r="0" b="0"/>
                      <wp:wrapNone/>
                      <wp:docPr id="923" name="Frame9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124460" cy="175260"/>
                      <wp:effectExtent l="0" t="0" r="0" b="0"/>
                      <wp:wrapNone/>
                      <wp:docPr id="924" name="Frame9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524510" cy="175260"/>
                      <wp:effectExtent l="0" t="0" r="0" b="0"/>
                      <wp:wrapNone/>
                      <wp:docPr id="925" name="Frame9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219710" cy="175260"/>
                      <wp:effectExtent l="0" t="0" r="0" b="0"/>
                      <wp:wrapNone/>
                      <wp:docPr id="926" name="Frame9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124460" cy="175260"/>
                      <wp:effectExtent l="0" t="0" r="0" b="0"/>
                      <wp:wrapNone/>
                      <wp:docPr id="927" name="Frame9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524510" cy="175260"/>
                      <wp:effectExtent l="0" t="0" r="0" b="0"/>
                      <wp:wrapNone/>
                      <wp:docPr id="928" name="Frame9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219710" cy="175260"/>
                      <wp:effectExtent l="0" t="0" r="0" b="0"/>
                      <wp:wrapNone/>
                      <wp:docPr id="929" name="Frame9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127635" cy="175260"/>
                      <wp:effectExtent l="0" t="0" r="0" b="0"/>
                      <wp:wrapNone/>
                      <wp:docPr id="930" name="Frame930"/>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539750" cy="175260"/>
                      <wp:effectExtent l="0" t="0" r="0" b="0"/>
                      <wp:wrapNone/>
                      <wp:docPr id="931" name="Frame931"/>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219710" cy="175260"/>
                      <wp:effectExtent l="0" t="0" r="0" b="0"/>
                      <wp:wrapNone/>
                      <wp:docPr id="932" name="Frame9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124460" cy="175260"/>
                      <wp:effectExtent l="0" t="0" r="0" b="0"/>
                      <wp:wrapNone/>
                      <wp:docPr id="933" name="Frame9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591185" cy="175260"/>
                      <wp:effectExtent l="0" t="0" r="0" b="0"/>
                      <wp:wrapNone/>
                      <wp:docPr id="934" name="Frame9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025"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7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389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46" w:type="dxa"/>
            <w:tcBorders/>
            <w:vAlign w:val="center"/>
          </w:tcPr>
          <w:p>
            <w:pPr>
              <w:pStyle w:val="TableContents"/>
              <w:bidi w:val="0"/>
              <w:spacing w:before="0" w:after="1"/>
              <w:ind w:left="0" w:right="0" w:hanging="0"/>
              <w:jc w:val="center"/>
              <w:rPr/>
            </w:pPr>
            <w:r>
              <w:rPr/>
              <w:t>​</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1"/>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1"/>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w:t>
            </w:r>
          </w:p>
        </w:tc>
        <w:tc>
          <w:tcPr>
            <w:tcW w:w="8025" w:type="dxa"/>
            <w:gridSpan w:val="1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interest income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28,422</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25,140</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25,140</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Noninterest income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(3,825)</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3,920</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7,316</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credit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(2,113)</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Noninterest expenses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(14,974)</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(14,414)</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(16,754)</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Income tax expense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2,311</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(2,906)</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(3,128)</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12,948</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13,659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9,627</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10,461</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25"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or for the Six Months Ended June 30, </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389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  ​ ​ ​</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46" w:type="dxa"/>
            <w:tcBorders/>
            <w:shd w:fill="CCEEFF" w:val="clear"/>
            <w:vAlign w:val="center"/>
          </w:tcPr>
          <w:p>
            <w:pPr>
              <w:pStyle w:val="TableContents"/>
              <w:bidi w:val="0"/>
              <w:spacing w:before="0" w:after="1"/>
              <w:ind w:left="0" w:right="0" w:hanging="0"/>
              <w:jc w:val="center"/>
              <w:rPr/>
            </w:pPr>
            <w:r>
              <w:rPr/>
              <w:t>​</w:t>
            </w:r>
          </w:p>
        </w:tc>
        <w:tc>
          <w:tcPr>
            <w:tcW w:w="1022"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51"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Wealth</w:t>
            </w:r>
          </w:p>
        </w:tc>
        <w:tc>
          <w:tcPr>
            <w:tcW w:w="346" w:type="dxa"/>
            <w:tcBorders/>
            <w:shd w:fill="CCEEFF" w:val="clear"/>
            <w:vAlign w:val="center"/>
          </w:tcPr>
          <w:p>
            <w:pPr>
              <w:pStyle w:val="TableContents"/>
              <w:bidi w:val="0"/>
              <w:spacing w:before="0" w:after="1"/>
              <w:ind w:left="0" w:right="0" w:hanging="0"/>
              <w:jc w:val="center"/>
              <w:rPr/>
            </w:pPr>
            <w:r>
              <w:rPr/>
              <w:t>​</w:t>
            </w:r>
          </w:p>
        </w:tc>
        <w:tc>
          <w:tcPr>
            <w:tcW w:w="1127"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1"/>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46" w:type="dxa"/>
            <w:tcBorders/>
            <w:vAlign w:val="center"/>
          </w:tcPr>
          <w:p>
            <w:pPr>
              <w:pStyle w:val="TableContents"/>
              <w:bidi w:val="0"/>
              <w:spacing w:before="0" w:after="1"/>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Banking</w:t>
            </w:r>
          </w:p>
        </w:tc>
        <w:tc>
          <w:tcPr>
            <w:tcW w:w="346" w:type="dxa"/>
            <w:tcBorders/>
            <w:vAlign w:val="center"/>
          </w:tcPr>
          <w:p>
            <w:pPr>
              <w:pStyle w:val="TableContents"/>
              <w:bidi w:val="0"/>
              <w:spacing w:before="0" w:after="1"/>
              <w:ind w:left="0" w:right="0" w:hanging="0"/>
              <w:jc w:val="center"/>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Management</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83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8025" w:type="dxa"/>
            <w:gridSpan w:val="17"/>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interest income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56,323</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56,323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48,768</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48,768</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Noninterest income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(2,917)</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4,836</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11,672</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credit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1,450</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(2,315)</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(2,315)</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Noninterest expenses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(30,934)</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(35,193)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(28,624)</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(33,248)</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Income tax expense </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(695)</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(5,247)</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(5,712)</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23,227</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17,418</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19,165</w:t>
            </w:r>
          </w:p>
        </w:tc>
      </w:tr>
      <w:tr>
        <w:trPr/>
        <w:tc>
          <w:tcPr>
            <w:tcW w:w="183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 under management and/or administration ("AUM") (market value)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1,673,217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1,673,217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1,827,989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1,827,989</w:t>
            </w:r>
          </w:p>
        </w:tc>
      </w:tr>
      <w:tr>
        <w:trPr/>
        <w:tc>
          <w:tcPr>
            <w:tcW w:w="183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Total assets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2,789,722</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2,800,371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2,595,763</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5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2,606,263</w:t>
            </w:r>
          </w:p>
        </w:tc>
      </w:tr>
    </w:tbl>
    <w:p>
      <w:pPr>
        <w:pStyle w:val="TextBody"/>
        <w:bidi w:val="0"/>
        <w:spacing w:before="24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market value of assets under management and/or administration was $1.7 billion and $1.8 billion at June 30, 2026 and 2025, respectively. This includes assets held at both Orange Bank &amp; Trust Company and OIA at June 30, 2026 and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income related to our wealth management business segment, which we record as noninterest income, decreased $178 thousand or 5.2%, to $3.2 million for the three months ended June 30, 2026 compared to $3.4 million for the three months ended June 30, 2025. The decrease was mainly due to the impact of equity markets combined with lower levels of assets under management. Our income related to our wealth management business segment decreased $349 thousand, or 5.1%, to $6.5 million for the six months ended June 30, 2026 compared to $6.8 million for the six months ended June 30, 2025. The decrease was the result of a reduction in AUM, primarily due to residual effects from last year's divisional restructuring.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Our expenses related to our wealth management business segment, which we record as noninterest expense, decreased $45 thousand, or 1.9%, to $2.3 million for the three months ended June 30, 2026. The decrease in expenses was primarily due to lower staffing levels during the current period associated with the reorganization of the division during 2025. For the six months ended June 30, 2026, our expenses related to our wealth management business segment decreased $365 thousand, or 7.9%, to $4.3 million for the six months ended June 30, 2026 compared to $4.6 million for the six months ended June 30, 2025. The decrease in expenses was primarily due to lower staffing levels during the current period associated with the reorganization of the division during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Liquidity</w:t>
      </w:r>
      <w:r>
        <w:rPr>
          <w:rFonts w:ascii="Times New Roman;Times;serif" w:hAnsi="Times New Roman;Times;serif"/>
          <w:i/>
          <w:sz w:val="20"/>
        </w:rPr>
        <w:t xml:space="preserve">. </w:t>
      </w:r>
      <w:r>
        <w:rPr>
          <w:rFonts w:ascii="Times New Roman;Times;serif" w:hAnsi="Times New Roman;Times;serif"/>
          <w:sz w:val="20"/>
        </w:rPr>
        <w:t>Liquidity is the ability to meet current and future financial obligations of a short-term nature. Our primary sources of funds consist of deposit inflows, loan repayments and maturities and sales of securities. While maturities and scheduled amortization of loans and securities are predictable sources of funds, deposit flows and mortgage prepayments are greatly influenced by general interest rates, economic conditions and competition.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most liquid assets are cash and due from banks. The levels of these assets are dependent on our operating, financing, lending and investing activities during any given period. At June 30, 2026 and December 31, 2025, cash and due from banks totaled $334.9 million and $204.2 million, respectively. Securities classified as available-for-sale, which provide additional sources of liquidity, totaled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$395.9 million at June 30, 2026 and $419.4 million at December 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Certificates of deposit due within one year of June 30, 2026 totaled $25.6 million, or 71.1% of total certificates of deposit. At June 30, 2026, the largest concentration of certificates of deposits was in consumer certificates.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participate in IntraFi Network, allowing us to provide access to multi-million-dollar FDIC deposit insurance protection on deposits for customers, businesses and public entities. We can elect to sell or repurchase this funding as reciprocal deposits from other IntraFi Network banks depending on our funding needs. At June 30, 2026, we had a total of $144.5 million of IntraFi Network deposits, all of which were repurchased as reciprocal deposits from the IntraFi Network.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Although customer deposits remain our preferred source of funds, maintaining back up sources of liquidity is part of our prudent liquidity risk management practices. We have the ability to borrow from the Federal Home Loan Bank of New York and the Federal Reserve Bank of New York as well as other correspondent banks. At June 30, 2026, we had a total capacity of $679.4 million at the Federal Home Loan Bank of New York, of which $72.4 million was used to collateralize municipal deposits, and $10.0 million was utilized for long-term advances. At June 30, 2026, we also held $61.4 million of collateral at the Federal Reserve Bank of New York which could be utilized to provide additional funding through the discount window and an additional $153.5 million was held as collateral for availability in borrowings through the Federal Reserve Bank’s Borrower-In-Custody (“BIC”) program. We also maintain additional borrowing capacity of $20.0 million of discretionary lines of credit with correspondent banks at June 30, 2026 with no outstanding balance. We also have a borrowing agreement with Atlantic Community Bankers Bank (“ACBB”) to provide short-term borrowings of $5.0 million at June 30, 2026. There were no outstanding borrowings with ACBB at June 30,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cash flows are comprised of three primary classifications: cash flows from operating activities, investing activities, and financing activities. Net cash from operating activities was $22.8 million for the six months ended June 30, 2026 and net cash used in operating activities was $114 thousand for the six months ended June 30, 2025. Net cash used in investing activities, which consists primarily of disbursements for loan originations and the purchase of securities, offset by principal collections on loans, proceeds from the sale of securities and proceeds from maturing securities and pay downs on securities, was $8.1 million for the six months ended June 30, 2026 and $46.1 million for the six months ended June 30, 2025, respectively. Net cash provided by financing activities, consisting of activity in deposit accounts and borrowings, was $116.0 million for the six months ended June 30, 2026 and net cash provided  from  financing activities was $71.4 million for the six months ended June 30,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remain committed to maintaining a strong liquidity position. We monitor and evaluate our liquidity position daily. We anticipate that we will have sufficient funds to meet our current funding commitments. Based on our deposit growth and retention, current pricing strategy and regulatory restrictions, we have the ability to retain and increase a substantial portion of maturing time deposits, and we can supplement our funding with borrowings in the event that we allow these deposits to run off at maturity.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Capital Resources</w:t>
      </w:r>
      <w:r>
        <w:rPr>
          <w:rFonts w:ascii="Times New Roman;Times;serif" w:hAnsi="Times New Roman;Times;serif"/>
          <w:i/>
          <w:sz w:val="20"/>
        </w:rPr>
        <w:t xml:space="preserve">. </w:t>
      </w:r>
      <w:r>
        <w:rPr>
          <w:rFonts w:ascii="Times New Roman;Times;serif" w:hAnsi="Times New Roman;Times;serif"/>
          <w:sz w:val="20"/>
        </w:rPr>
        <w:t>We are subject to various regulatory capital requirements administered by the FRB and the NYSDFS. At June 30, 2026 and December 31, 2025, the Bank exceeded all applicable regulatory capital requirements, and were considered “well capitalized” under regulatory guidelines. See Note 10 to the Notes to the Unaudited Consolidated Financial Statements appearing elsewhere in this Quarterly Report on Form 10-Q for actual and required capital amounts and ratios at June 30, 2026 and December 31, 2025.</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 xml:space="preserve">Off-Balance Sheet Arrangements. </w:t>
      </w:r>
      <w:r>
        <w:rPr>
          <w:rFonts w:ascii="Times New Roman;Times;serif" w:hAnsi="Times New Roman;Times;serif"/>
          <w:sz w:val="20"/>
        </w:rPr>
        <w:t>We are a party to financial instruments with off-balance sheet risk in the normal course of business to meet the financing needs of our customers. These financial instruments include commitments to extend credit, which involve elements of credit and interest rate risk in excess of the amount recognized in the consolidated balance sheets. Our exposure to credit loss is represented by the contractual amount of the instruments. We use the same credit policies in making commitments as we do for on-balance sheet instruments.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At June 30, 2026, we had $458.4 million in loan commitments outstanding. We also had $20.6 million in standby letters of credit at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Effect of Inflation and Changing Prices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and related financial data included in this Quarterly Report on Form 10-Q have been prepared in accordance with generally accepted accounting principles in the United States of America, which require the measurement of financial position and operating results in terms of historical dollars without considering the change in the relative purchasing power of money over time due to inflation. The primary impact of inflation on our operations is reflected in increased operating costs. Unlike most industrial companies, virtually all the assets and liabilities of a financial institution are monetary in nature. As a result, interest rates generally have a more significant impact on a financial institution’s performance than do general levels of inflation. Interest rates do not necessarily move in the same direction or to the same extent as the prices of goods and services.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2770" w:name="Item3QuantitativeandQualitativeDisclosur"/>
      <w:bookmarkStart w:id="2771" w:name="_05407a7f_53db_4be4_b184_2e12518551a0"/>
      <w:bookmarkEnd w:id="2770"/>
      <w:bookmarkEnd w:id="2771"/>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Management of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 xml:space="preserve">General. </w:t>
      </w:r>
      <w:r>
        <w:rPr>
          <w:rFonts w:ascii="Times New Roman;Times;serif" w:hAnsi="Times New Roman;Times;serif"/>
          <w:sz w:val="20"/>
        </w:rPr>
        <w:t>The principal objective of our asset and liability management function is to evaluate the interest rate risk within the balance sheet and pursue a controlled assumption of interest rate risk while maximizing net income and preserving adequate levels of liquidity and capital. The board of directors of our Bank has oversight of our asset and liability management function, which is managed by our Asset/Liability Management Committee and our Finance Committee. Our Asset/Liability Management Committee meets regularly to review, among other things, the sensitivity of our assets and liabilities to market interest rate changes, local and national market conditions and market interest rates. That group also reviews our liquidity, capital, deposit mix, loan mix and investment positions. As a financial institution, our primary component of market risk is interest rate volatility. Fluctuations in interest rates will ultimately impact both the level of income and expense recorded on most of our assets and liabilities, and the fair value of all interest-earning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values. The objective is to measure the effect on net interest income and to adjust the balance sheet to minimize the inherent risk while at the same time maximizing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manage our exposure to interest rates primarily by structuring our balance sheet in the ordinary course of business. We do not typically enter into derivative contracts for the purpose of managing interest rate risk, but we may do so in the future. Based upon the nature of our operations, we are not subject to foreign exchange or commodity price risk.  We do not own any trading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 xml:space="preserve">Net Interest Income Simulation. </w:t>
      </w:r>
      <w:r>
        <w:rPr>
          <w:rFonts w:ascii="Times New Roman;Times;serif" w:hAnsi="Times New Roman;Times;serif"/>
          <w:sz w:val="20"/>
        </w:rPr>
        <w:t>We use an interest rate risk simulation model to test the interest rate sensitivity of net interest income and the balance sheet. Instantaneous parallel rate shift scenarios are modeled and utilized to evaluate risk and establish exposure limits for acceptable changes in net interest margin. These scenarios, known as rate shocks, simulate an instantaneous change in interest rates and use various assumptions, including, but not limited to, prepayments on loans and securities, deposit decay rates, pricing decisions on loans and deposits, reinvestment and replacement of asset and liability cash flows.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presents the estimated changes in our net interest income, calculated on a bank-only basis, which would result from changes in market interest rates over a twelve month period as of June 30, 2026. </w:t>
      </w:r>
    </w:p>
    <w:tbl>
      <w:tblPr>
        <w:tblW w:w="4931" w:type="dxa"/>
        <w:jc w:val="left"/>
        <w:tblInd w:w="0" w:type="dxa"/>
        <w:tblLayout w:type="fixed"/>
        <w:tblCellMar>
          <w:top w:w="0" w:type="dxa"/>
          <w:left w:w="0" w:type="dxa"/>
          <w:bottom w:w="0" w:type="dxa"/>
          <w:right w:w="0" w:type="dxa"/>
        </w:tblCellMar>
      </w:tblPr>
      <w:tblGrid>
        <w:gridCol w:w="2101"/>
        <w:gridCol w:w="109"/>
        <w:gridCol w:w="272"/>
        <w:gridCol w:w="1003"/>
        <w:gridCol w:w="109"/>
        <w:gridCol w:w="946"/>
        <w:gridCol w:w="39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1334135" cy="175260"/>
                      <wp:effectExtent l="0" t="0" r="0" b="0"/>
                      <wp:wrapNone/>
                      <wp:docPr id="935" name="Frame935"/>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69215" cy="175260"/>
                      <wp:effectExtent l="0" t="0" r="0" b="0"/>
                      <wp:wrapNone/>
                      <wp:docPr id="936" name="Frame9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172720" cy="175260"/>
                      <wp:effectExtent l="0" t="0" r="0" b="0"/>
                      <wp:wrapNone/>
                      <wp:docPr id="937" name="Frame937"/>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636905" cy="175260"/>
                      <wp:effectExtent l="0" t="0" r="0" b="0"/>
                      <wp:wrapNone/>
                      <wp:docPr id="938" name="Frame938"/>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69215" cy="175260"/>
                      <wp:effectExtent l="0" t="0" r="0" b="0"/>
                      <wp:wrapNone/>
                      <wp:docPr id="939" name="Frame9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600710" cy="175260"/>
                      <wp:effectExtent l="0" t="0" r="0" b="0"/>
                      <wp:wrapNone/>
                      <wp:docPr id="940" name="Frame94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248285" cy="175260"/>
                      <wp:effectExtent l="0" t="0" r="0" b="0"/>
                      <wp:wrapNone/>
                      <wp:docPr id="941" name="Frame94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Net Interest </w:t>
            </w:r>
          </w:p>
        </w:tc>
        <w:tc>
          <w:tcPr>
            <w:tcW w:w="109"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1</w:t>
            </w:r>
          </w:p>
        </w:tc>
        <w:tc>
          <w:tcPr>
            <w:tcW w:w="391" w:type="dxa"/>
            <w:tcBorders/>
            <w:vAlign w:val="center"/>
          </w:tcPr>
          <w:p>
            <w:pPr>
              <w:pStyle w:val="TableContents"/>
              <w:bidi w:val="0"/>
              <w:spacing w:before="0" w:after="1"/>
              <w:ind w:left="0" w:right="0" w:hanging="0"/>
              <w:jc w:val="center"/>
              <w:rPr/>
            </w:pPr>
            <w:r>
              <w:rPr/>
              <w:t>​</w:t>
            </w:r>
          </w:p>
        </w:tc>
      </w:tr>
      <w:tr>
        <w:trPr/>
        <w:tc>
          <w:tcPr>
            <w:tcW w:w="210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Change</w:t>
            </w:r>
          </w:p>
        </w:tc>
        <w:tc>
          <w:tcPr>
            <w:tcW w:w="109"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Change </w:t>
            </w:r>
          </w:p>
        </w:tc>
        <w:tc>
          <w:tcPr>
            <w:tcW w:w="391" w:type="dxa"/>
            <w:tcBorders/>
            <w:vAlign w:val="center"/>
          </w:tcPr>
          <w:p>
            <w:pPr>
              <w:pStyle w:val="TableContents"/>
              <w:bidi w:val="0"/>
              <w:spacing w:before="0" w:after="1"/>
              <w:ind w:left="0" w:right="0" w:hanging="0"/>
              <w:jc w:val="center"/>
              <w:rPr/>
            </w:pPr>
            <w:r>
              <w:rPr/>
              <w:t>​</w:t>
            </w:r>
          </w:p>
        </w:tc>
      </w:tr>
      <w:tr>
        <w:trPr/>
        <w:tc>
          <w:tcPr>
            <w:tcW w:w="2101" w:type="dxa"/>
            <w:tcBorders>
              <w:bottom w:val="single" w:sz="2" w:space="0" w:color="000000"/>
            </w:tcBorders>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Change in Interest Rates</w:t>
            </w:r>
            <w:r>
              <w:rPr>
                <w:rFonts w:ascii="Times New Roman;Times;serif" w:hAnsi="Times New Roman;Times;serif"/>
                <w:sz w:val="16"/>
              </w:rPr>
              <w:t xml:space="preserve"> </w:t>
            </w:r>
            <w:r>
              <w:rPr>
                <w:rFonts w:ascii="Times New Roman;Times;serif" w:hAnsi="Times New Roman;Times;serif"/>
                <w:b/>
                <w:sz w:val="12"/>
              </w:rPr>
              <w:t>(1)</w:t>
            </w:r>
          </w:p>
        </w:tc>
        <w:tc>
          <w:tcPr>
            <w:tcW w:w="109" w:type="dxa"/>
            <w:tcBorders/>
            <w:vAlign w:val="center"/>
          </w:tcPr>
          <w:p>
            <w:pPr>
              <w:pStyle w:val="TableContents"/>
              <w:bidi w:val="0"/>
              <w:spacing w:before="0" w:after="1"/>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1 Forecast</w:t>
            </w:r>
          </w:p>
        </w:tc>
        <w:tc>
          <w:tcPr>
            <w:tcW w:w="109"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from Level </w:t>
            </w:r>
          </w:p>
        </w:tc>
        <w:tc>
          <w:tcPr>
            <w:tcW w:w="391" w:type="dxa"/>
            <w:tcBorders/>
            <w:vAlign w:val="center"/>
          </w:tcPr>
          <w:p>
            <w:pPr>
              <w:pStyle w:val="TableContents"/>
              <w:bidi w:val="0"/>
              <w:spacing w:before="0" w:after="1"/>
              <w:ind w:left="0" w:right="0" w:hanging="0"/>
              <w:jc w:val="center"/>
              <w:rPr/>
            </w:pPr>
            <w:r>
              <w:rPr/>
              <w:t>  ​ ​ ​</w:t>
            </w:r>
          </w:p>
        </w:tc>
      </w:tr>
      <w:tr>
        <w:trPr/>
        <w:tc>
          <w:tcPr>
            <w:tcW w:w="493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0"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1" w:type="dxa"/>
            <w:tcBorders/>
            <w:vAlign w:val="center"/>
          </w:tcPr>
          <w:p>
            <w:pPr>
              <w:pStyle w:val="TableContents"/>
              <w:bidi w:val="0"/>
              <w:spacing w:before="0" w:after="1"/>
              <w:ind w:left="0" w:right="0" w:hanging="0"/>
              <w:jc w:val="left"/>
              <w:rPr/>
            </w:pPr>
            <w:r>
              <w:rPr/>
              <w:t>​</w:t>
            </w:r>
          </w:p>
        </w:tc>
      </w:tr>
      <w:tr>
        <w:trPr/>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+200 Basis Points</w:t>
            </w:r>
          </w:p>
        </w:tc>
        <w:tc>
          <w:tcPr>
            <w:tcW w:w="109" w:type="dxa"/>
            <w:tcBorders/>
            <w:shd w:fill="CCEEFF" w:val="clear"/>
            <w:vAlign w:val="center"/>
          </w:tcPr>
          <w:p>
            <w:pPr>
              <w:pStyle w:val="TableContents"/>
              <w:bidi w:val="0"/>
              <w:spacing w:before="0" w:after="1"/>
              <w:ind w:left="0" w:right="0" w:hanging="0"/>
              <w:jc w:val="center"/>
              <w:rPr/>
            </w:pPr>
            <w:r>
              <w:rPr/>
              <w:t>​</w:t>
            </w:r>
          </w:p>
        </w:tc>
        <w:tc>
          <w:tcPr>
            <w:tcW w:w="27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03"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10,515</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+100 Basis Points</w:t>
            </w:r>
          </w:p>
        </w:tc>
        <w:tc>
          <w:tcPr>
            <w:tcW w:w="109" w:type="dxa"/>
            <w:tcBorders/>
            <w:vAlign w:val="center"/>
          </w:tcPr>
          <w:p>
            <w:pPr>
              <w:pStyle w:val="TableContents"/>
              <w:bidi w:val="0"/>
              <w:spacing w:before="0" w:after="1"/>
              <w:ind w:left="0" w:right="0" w:hanging="0"/>
              <w:jc w:val="center"/>
              <w:rPr/>
            </w:pPr>
            <w:r>
              <w:rPr/>
              <w:t>​</w:t>
            </w:r>
          </w:p>
        </w:tc>
        <w:tc>
          <w:tcPr>
            <w:tcW w:w="27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5,506</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0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7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0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-100 Basis Points</w:t>
            </w:r>
          </w:p>
        </w:tc>
        <w:tc>
          <w:tcPr>
            <w:tcW w:w="109" w:type="dxa"/>
            <w:tcBorders/>
            <w:vAlign w:val="center"/>
          </w:tcPr>
          <w:p>
            <w:pPr>
              <w:pStyle w:val="TableContents"/>
              <w:bidi w:val="0"/>
              <w:spacing w:before="0" w:after="1"/>
              <w:ind w:left="0" w:right="0" w:hanging="0"/>
              <w:jc w:val="center"/>
              <w:rPr/>
            </w:pPr>
            <w:r>
              <w:rPr/>
              <w:t>​</w:t>
            </w:r>
          </w:p>
        </w:tc>
        <w:tc>
          <w:tcPr>
            <w:tcW w:w="272"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(5,847)</w:t>
            </w:r>
          </w:p>
        </w:tc>
        <w:tc>
          <w:tcPr>
            <w:tcW w:w="109"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1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-200 Basis Points</w:t>
            </w:r>
          </w:p>
        </w:tc>
        <w:tc>
          <w:tcPr>
            <w:tcW w:w="109" w:type="dxa"/>
            <w:tcBorders/>
            <w:shd w:fill="CCEEFF" w:val="clear"/>
            <w:vAlign w:val="center"/>
          </w:tcPr>
          <w:p>
            <w:pPr>
              <w:pStyle w:val="TableContents"/>
              <w:bidi w:val="0"/>
              <w:spacing w:before="0" w:after="1"/>
              <w:ind w:left="0" w:right="0" w:hanging="0"/>
              <w:jc w:val="center"/>
              <w:rPr/>
            </w:pPr>
            <w:r>
              <w:rPr/>
              <w:t>​</w:t>
            </w:r>
          </w:p>
        </w:tc>
        <w:tc>
          <w:tcPr>
            <w:tcW w:w="272"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1003"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(11,713)</w:t>
            </w:r>
          </w:p>
        </w:tc>
        <w:tc>
          <w:tcPr>
            <w:tcW w:w="109"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lineRule="auto" w:line="240" w:before="240" w:after="240"/>
        <w:ind w:left="0" w:right="0" w:firstLine="36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This analysis assumes an instantaneous and parallel rate shock across the entire yield curve for the scenarios indicated.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Economic Value of Equity Simulation.</w:t>
      </w:r>
      <w:r>
        <w:rPr>
          <w:rFonts w:ascii="Times New Roman;Times;serif" w:hAnsi="Times New Roman;Times;serif"/>
          <w:sz w:val="20"/>
        </w:rPr>
        <w:t xml:space="preserve"> We also analyze our sensitivity to changes in interest rates through an economic value of equity ("EVE") model. EVE represents the present value of the expected cash flows from our assets less the present value of the expected cash flows arising from our liabilities adjusted for the value of off-balance sheet contracts. EVE attempts to quantify our economic value using a discounted cash flow methodology. We estimate what our EVE would be as of a specific date. We then calculate what EVE would be as of the same date throughout a series of interest rate scenarios representing immediate and permanent, parallel shifts in the yield curve. We currently calculate EVE under the assumptions that interest rates increase 100, 200, and 300 basis points from current market rates, and under the assumption that interest rates decrease 100, 200, and 300 basis points from current market 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estimated changes in our EVE, calculated on a bank-only basis, that would result from changes in market interest rates as of June 30, 2026.</w:t>
      </w:r>
    </w:p>
    <w:tbl>
      <w:tblPr>
        <w:tblW w:w="5935" w:type="dxa"/>
        <w:jc w:val="left"/>
        <w:tblInd w:w="0" w:type="dxa"/>
        <w:tblLayout w:type="fixed"/>
        <w:tblCellMar>
          <w:top w:w="0" w:type="dxa"/>
          <w:left w:w="0" w:type="dxa"/>
          <w:bottom w:w="0" w:type="dxa"/>
          <w:right w:w="0" w:type="dxa"/>
        </w:tblCellMar>
      </w:tblPr>
      <w:tblGrid>
        <w:gridCol w:w="1951"/>
        <w:gridCol w:w="346"/>
        <w:gridCol w:w="196"/>
        <w:gridCol w:w="691"/>
        <w:gridCol w:w="346"/>
        <w:gridCol w:w="196"/>
        <w:gridCol w:w="811"/>
        <w:gridCol w:w="346"/>
        <w:gridCol w:w="661"/>
        <w:gridCol w:w="39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1238885" cy="175260"/>
                      <wp:effectExtent l="0" t="0" r="0" b="0"/>
                      <wp:wrapNone/>
                      <wp:docPr id="942" name="Frame942"/>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219710" cy="175260"/>
                      <wp:effectExtent l="0" t="0" r="0" b="0"/>
                      <wp:wrapNone/>
                      <wp:docPr id="943" name="Frame9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124460" cy="175260"/>
                      <wp:effectExtent l="0" t="0" r="0" b="0"/>
                      <wp:wrapNone/>
                      <wp:docPr id="944" name="Frame9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438785" cy="175260"/>
                      <wp:effectExtent l="0" t="0" r="0" b="0"/>
                      <wp:wrapNone/>
                      <wp:docPr id="945" name="Frame9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219710" cy="175260"/>
                      <wp:effectExtent l="0" t="0" r="0" b="0"/>
                      <wp:wrapNone/>
                      <wp:docPr id="946" name="Frame9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124460" cy="175260"/>
                      <wp:effectExtent l="0" t="0" r="0" b="0"/>
                      <wp:wrapNone/>
                      <wp:docPr id="947" name="Frame9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514985" cy="175260"/>
                      <wp:effectExtent l="0" t="0" r="0" b="0"/>
                      <wp:wrapNone/>
                      <wp:docPr id="948" name="Frame94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219710" cy="175260"/>
                      <wp:effectExtent l="0" t="0" r="0" b="0"/>
                      <wp:wrapNone/>
                      <wp:docPr id="949" name="Frame9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419735" cy="175260"/>
                      <wp:effectExtent l="0" t="0" r="0" b="0"/>
                      <wp:wrapNone/>
                      <wp:docPr id="950" name="Frame95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248285" cy="175260"/>
                      <wp:effectExtent l="0" t="0" r="0" b="0"/>
                      <wp:wrapNone/>
                      <wp:docPr id="951" name="Frame95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1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91" w:type="dxa"/>
            <w:tcBorders/>
            <w:vAlign w:val="center"/>
          </w:tcPr>
          <w:p>
            <w:pPr>
              <w:pStyle w:val="TableContents"/>
              <w:bidi w:val="0"/>
              <w:spacing w:before="0" w:after="1"/>
              <w:ind w:left="0" w:right="0" w:hanging="0"/>
              <w:jc w:val="center"/>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1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c>
          <w:tcPr>
            <w:tcW w:w="391" w:type="dxa"/>
            <w:tcBorders/>
            <w:vAlign w:val="center"/>
          </w:tcPr>
          <w:p>
            <w:pPr>
              <w:pStyle w:val="TableContents"/>
              <w:bidi w:val="0"/>
              <w:spacing w:before="0" w:after="1"/>
              <w:ind w:left="0" w:right="0" w:hanging="0"/>
              <w:jc w:val="center"/>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EVE</w:t>
            </w:r>
          </w:p>
        </w:tc>
        <w:tc>
          <w:tcPr>
            <w:tcW w:w="391" w:type="dxa"/>
            <w:tcBorders/>
            <w:vAlign w:val="center"/>
          </w:tcPr>
          <w:p>
            <w:pPr>
              <w:pStyle w:val="TableContents"/>
              <w:bidi w:val="0"/>
              <w:spacing w:before="0" w:after="1"/>
              <w:ind w:left="0" w:right="0" w:hanging="0"/>
              <w:jc w:val="center"/>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center"/>
              <w:rPr/>
            </w:pPr>
            <w:r>
              <w:rPr/>
              <w:t>​</w:t>
            </w:r>
          </w:p>
        </w:tc>
      </w:tr>
      <w:tr>
        <w:trPr/>
        <w:tc>
          <w:tcPr>
            <w:tcW w:w="19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Change in Interest Rates </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EVE</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w:t>
            </w:r>
          </w:p>
        </w:tc>
        <w:tc>
          <w:tcPr>
            <w:tcW w:w="391" w:type="dxa"/>
            <w:tcBorders/>
            <w:vAlign w:val="center"/>
          </w:tcPr>
          <w:p>
            <w:pPr>
              <w:pStyle w:val="TableContents"/>
              <w:bidi w:val="0"/>
              <w:spacing w:before="0" w:after="1"/>
              <w:ind w:left="0" w:right="0" w:hanging="0"/>
              <w:jc w:val="center"/>
              <w:rPr/>
            </w:pPr>
            <w:r>
              <w:rPr/>
              <w:t>  ​ ​ ​</w:t>
            </w:r>
          </w:p>
        </w:tc>
      </w:tr>
      <w:tr>
        <w:trPr/>
        <w:tc>
          <w:tcPr>
            <w:tcW w:w="593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47" w:type="dxa"/>
            <w:gridSpan w:val="7"/>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91" w:type="dxa"/>
            <w:tcBorders/>
            <w:vAlign w:val="center"/>
          </w:tcPr>
          <w:p>
            <w:pPr>
              <w:pStyle w:val="TableContents"/>
              <w:bidi w:val="0"/>
              <w:spacing w:before="0" w:after="1"/>
              <w:ind w:left="0" w:right="0" w:hanging="0"/>
              <w:jc w:val="left"/>
              <w:rPr/>
            </w:pPr>
            <w:r>
              <w:rPr/>
              <w:t>​</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839,633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79,849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+200 Basis Points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817,894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58,110</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794,452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34,668</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759,784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-100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713,545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(46,239)</w:t>
            </w:r>
          </w:p>
        </w:tc>
        <w:tc>
          <w:tcPr>
            <w:tcW w:w="34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-200 Basis Points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653,486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(106,298)</w:t>
            </w:r>
          </w:p>
        </w:tc>
        <w:tc>
          <w:tcPr>
            <w:tcW w:w="34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(13.99)</w:t>
            </w:r>
          </w:p>
        </w:tc>
        <w:tc>
          <w:tcPr>
            <w:tcW w:w="3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-300 Basis Points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583,041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(176,743)</w:t>
            </w:r>
          </w:p>
        </w:tc>
        <w:tc>
          <w:tcPr>
            <w:tcW w:w="34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Note:   This analysis assumes an instantaneous and parallel rate shock across the entire yield curve for the scenarios indicated.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Many assumptions are used to calculate the impact of interest rate fluctuations. Actual results may be significantly different than our projections due to several factors, including the timing and frequency of rate changes, market conditions and the shape of the yield curve. The computations of interest rate risk shown above do not include actions that our management may undertake to manage the risks in response to anticipated changes in interest rates, and actual results may also differ due to any actions taken in response to the changing rates.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manages credit risk consistent with state and federal laws governing the making of loans through written policies and procedures; loan review to identify loan problems at the earliest possible time; collection procedures (including subsequent to a loan being charged off); an adequate allowance for credit losses; and continuing education and training to ensure lending expertise. Diversification by loan product is maintained through offering commercial loans, 1-4 family mortgages, and a full range of consumer loans.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monitors its loan portfolio prudently. The Director’s Loan Committee of the Company’s Board of Directors is designated to receive required loan reports, oversee loan policy, and approve loans above authorized individual and Management Loan Committee lending limits. The Management Loan Committee, consisting of the President and Chief Executive Officer, Chief Financial Officer, Chief Credit Officer, Chief Risk Officer, Chief Loan Officer, EVP-Strategic Lending, and the SVP-Commercial Lending, reviews certain loan transactions and implements the Board-approved loan policy.</w:t>
      </w:r>
    </w:p>
    <w:p>
      <w:pPr>
        <w:pStyle w:val="TextBody"/>
        <w:bidi w:val="0"/>
        <w:spacing w:before="0" w:after="240"/>
        <w:ind w:left="0" w:right="0" w:hanging="0"/>
        <w:jc w:val="both"/>
        <w:rPr>
          <w:rFonts w:ascii="Times New Roman;Times;serif" w:hAnsi="Times New Roman;Times;serif"/>
          <w:b/>
          <w:sz w:val="20"/>
        </w:rPr>
      </w:pPr>
      <w:bookmarkStart w:id="2772" w:name="Item4ControlsandProcedures_780845"/>
      <w:bookmarkStart w:id="2773" w:name="_b1b7158f_3271_452c_ae69_9083fa22765f"/>
      <w:bookmarkEnd w:id="2772"/>
      <w:bookmarkEnd w:id="2773"/>
      <w:r>
        <w:rPr>
          <w:rFonts w:ascii="Times New Roman;Times;serif" w:hAnsi="Times New Roman;Times;serif"/>
          <w:b/>
          <w:sz w:val="20"/>
        </w:rPr>
        <w:t>Item 4.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An Evaluation of disclosure controls and procedures</w:t>
      </w:r>
      <w:r>
        <w:rPr>
          <w:rFonts w:ascii="Times New Roman;Times;serif" w:hAnsi="Times New Roman;Times;serif"/>
          <w:sz w:val="20"/>
        </w:rPr>
        <w:t>. 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their evaluation of the Company’s disclosure controls and procedures as of June 30, 2026 the Company’s Chief Executive Officer and Chief Financial Officer have concluded that the Company’s disclosure controls and procedures (as defined in Rules 13a-15(e) and 15d-15(e) under the Securities Exchange Act of 1934, as amended (“Exchange Act”)) are designed to ensure that information required to be disclosed by the Company in reports that it files or submits under the Exchange Act is recorded, processed, summarized and reported within the time periods specified in the Securities and Exchange Commission rules and regulations are operating in an effective manner.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Internal control over financial reporting</w:t>
      </w:r>
      <w:r>
        <w:rPr>
          <w:rFonts w:ascii="Times New Roman;Times;serif" w:hAnsi="Times New Roman;Times;serif"/>
          <w:sz w:val="20"/>
        </w:rPr>
        <w:t>. There were no changes in the Company’s internal control over financial reporting (as such term is defined in Rules 13a-15(f) and 15d-15(f) under the Exchange Act) that occurred during the three months ended June 30, 2026 that have materially affected, or are reasonably likely to materially affect, the Company’s internal control over financial reporting.  </w:t>
      </w:r>
    </w:p>
    <w:p>
      <w:pPr>
        <w:pStyle w:val="TextBody"/>
        <w:bidi w:val="0"/>
        <w:spacing w:before="0" w:after="240"/>
        <w:ind w:left="0" w:right="0" w:hanging="0"/>
        <w:jc w:val="both"/>
        <w:rPr>
          <w:rFonts w:ascii="Times New Roman;Times;serif" w:hAnsi="Times New Roman;Times;serif"/>
          <w:b/>
          <w:sz w:val="20"/>
        </w:rPr>
      </w:pPr>
      <w:bookmarkStart w:id="2774" w:name="PARTIIOTHERINFORMATION_847820"/>
      <w:bookmarkStart w:id="2775" w:name="_f67ffbac_e555_453d_a1a1_56f2b32c19f9"/>
      <w:bookmarkEnd w:id="2774"/>
      <w:bookmarkEnd w:id="2775"/>
      <w:r>
        <w:rPr>
          <w:rFonts w:ascii="Times New Roman;Times;serif" w:hAnsi="Times New Roman;Times;serif"/>
          <w:b/>
          <w:sz w:val="20"/>
        </w:rPr>
        <w:t>PART II — OTHER INFORMATION</w:t>
      </w:r>
    </w:p>
    <w:p>
      <w:pPr>
        <w:pStyle w:val="TextBody"/>
        <w:bidi w:val="0"/>
        <w:spacing w:before="0" w:after="240"/>
        <w:ind w:left="0" w:right="0" w:hanging="0"/>
        <w:jc w:val="both"/>
        <w:rPr>
          <w:rFonts w:ascii="Times New Roman;Times;serif" w:hAnsi="Times New Roman;Times;serif"/>
          <w:b/>
          <w:sz w:val="20"/>
        </w:rPr>
      </w:pPr>
      <w:bookmarkStart w:id="2776" w:name="Item1LegalProceedings_915942"/>
      <w:bookmarkEnd w:id="2776"/>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the Company is not currently a named party in a legal proceeding, the outcome of which would have an adverse material effect on the financial condition or results of operations of the Company.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25, 2024, the Bank filed a civil complaint in the United States District Court for the District of New Jersey against the lead lender, Valley National Bank, of a non-performing commercial real estate loan participation. This action cited breach of contract and other claims related to the participation agreement with the lead lender. The lawsuit requested damages and demanded repurchase by the lead lender of the participated loan amount in accordance with the rights available under the terms of the participation agreement. On May 20, 2026, the parties entered into a confidential settlement agreement resolving all claims asserted in the action.</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2777" w:name="Item1ARiskFactors_68588"/>
      <w:bookmarkStart w:id="2778" w:name="_da245bd2_e23c_4dfb_9bfa_df126a7bd643"/>
      <w:bookmarkEnd w:id="2777"/>
      <w:bookmarkEnd w:id="2778"/>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has been no material change to Risk Factors as disclosed in the Company’s 2025 Annual Report on Form 10-K as filed with the Securities and Exchange Commission on March 16, 2026.  </w:t>
      </w:r>
    </w:p>
    <w:p>
      <w:pPr>
        <w:pStyle w:val="TextBody"/>
        <w:bidi w:val="0"/>
        <w:spacing w:before="0" w:after="240"/>
        <w:ind w:left="0" w:right="0" w:hanging="0"/>
        <w:jc w:val="left"/>
        <w:rPr>
          <w:rFonts w:ascii="Times New Roman;Times;serif" w:hAnsi="Times New Roman;Times;serif"/>
          <w:b/>
          <w:sz w:val="20"/>
        </w:rPr>
      </w:pPr>
      <w:bookmarkStart w:id="2779" w:name="Item2UnregisteredSalesofEquitySecurities"/>
      <w:bookmarkStart w:id="2780" w:name="_a5bc9503_6873_4e00_a138_14d1311d3bb8"/>
      <w:bookmarkEnd w:id="2779"/>
      <w:bookmarkEnd w:id="2780"/>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2781" w:name="Item3DefaultsUponSeniorSecurities_430479"/>
      <w:bookmarkStart w:id="2782" w:name="_5b24b415_0a52_4654_9b53_f03df1c93853"/>
      <w:bookmarkEnd w:id="2781"/>
      <w:bookmarkEnd w:id="2782"/>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2783" w:name="Item4MineSafetyDisclosures_754929"/>
      <w:bookmarkStart w:id="2784" w:name="_ccfa1072_95cb_4221_b59d_1cd0529e47e3"/>
      <w:bookmarkEnd w:id="2783"/>
      <w:bookmarkEnd w:id="2784"/>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2785" w:name="Item5OtherInformation_405938"/>
      <w:bookmarkStart w:id="2786" w:name="_4081d400_a19a_4c10_b0d0_cb19d340a216"/>
      <w:bookmarkEnd w:id="2785"/>
      <w:bookmarkEnd w:id="2786"/>
      <w:r>
        <w:rPr>
          <w:rFonts w:ascii="Times New Roman;Times;serif" w:hAnsi="Times New Roman;Times;serif"/>
          <w:b/>
          <w:sz w:val="20"/>
        </w:rPr>
        <w:t>Item 5. Other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second quarter of 2026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2787" w:name="Item6Exhibits_505738"/>
      <w:bookmarkStart w:id="2788" w:name="_261a61c6_ff84_4e90_9745_ee69c7ef71e0"/>
      <w:bookmarkEnd w:id="2787"/>
      <w:bookmarkEnd w:id="2788"/>
      <w:r>
        <w:rPr>
          <w:rFonts w:ascii="Times New Roman;Times;serif" w:hAnsi="Times New Roman;Times;serif"/>
          <w:b/>
          <w:sz w:val="20"/>
        </w:rPr>
        <w:t>Item 6. Exhibits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120"/>
        <w:ind w:left="0" w:right="0" w:hanging="0"/>
        <w:jc w:val="center"/>
        <w:rPr>
          <w:rFonts w:ascii="Times New Roman;Times;serif" w:hAnsi="Times New Roman;Times;serif"/>
          <w:b/>
          <w:sz w:val="20"/>
        </w:rPr>
      </w:pPr>
      <w:bookmarkStart w:id="2789" w:name="EXHIBITINDEX_589028"/>
      <w:bookmarkEnd w:id="2789"/>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49"/>
        <w:gridCol w:w="346"/>
        <w:gridCol w:w="9010"/>
      </w:tblGrid>
      <w:tr>
        <w:trPr/>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539115" cy="175260"/>
                      <wp:effectExtent l="0" t="0" r="0" b="0"/>
                      <wp:wrapNone/>
                      <wp:docPr id="952" name="Frame952"/>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5721350" cy="175260"/>
                      <wp:effectExtent l="0" t="0" r="0" b="0"/>
                      <wp:wrapNone/>
                      <wp:docPr id="953" name="Frame953"/>
                      <a:graphic xmlns:a="http://schemas.openxmlformats.org/drawingml/2006/main">
                        <a:graphicData uri="http://schemas.microsoft.com/office/word/2010/wordprocessingShape">
                          <wps:wsp>
                            <wps:cNvSpPr txBox="1"/>
                            <wps:spPr>
                              <a:xfrm>
                                <a:off x="0" y="0"/>
                                <a:ext cx="572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pPr>
            <w:hyperlink w:anchor="obt-2026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pPr>
            <w:hyperlink w:anchor="obt-2026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pPr>
            <w:hyperlink w:anchor="obt-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pPr>
            <w:hyperlink w:anchor="obt-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pBdr/>
        <w:bidi w:val="0"/>
        <w:spacing w:before="0" w:after="0"/>
        <w:ind w:left="0" w:right="0" w:hanging="360"/>
        <w:jc w:val="left"/>
        <w:rPr/>
      </w:pPr>
      <w:r>
        <w:rPr/>
        <w:t>†    </w:t>
      </w:r>
      <w:r>
        <w:rPr>
          <w:rFonts w:ascii="Times New Roman;Times;serif" w:hAnsi="Times New Roman;Times;serif"/>
          <w:sz w:val="20"/>
        </w:rPr>
        <w:t>Filed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790" w:name="SIGNATURES_719484"/>
      <w:bookmarkStart w:id="2791" w:name="_df276e3f_cc36_4a87_a2ab_c4fc1b2be549"/>
      <w:bookmarkEnd w:id="2790"/>
      <w:bookmarkEnd w:id="2791"/>
      <w:r>
        <w:rPr>
          <w:rFonts w:ascii="Times New Roman;Times;serif" w:hAnsi="Times New Roman;Times;serif"/>
          <w:b/>
          <w:sz w:val="20"/>
        </w:rPr>
        <w:t>SIGNATURES</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10, 2026</w:t>
      </w:r>
    </w:p>
    <w:tbl>
      <w:tblPr>
        <w:tblW w:w="5196" w:type="dxa"/>
        <w:jc w:val="left"/>
        <w:tblInd w:w="0" w:type="dxa"/>
        <w:tblLayout w:type="fixed"/>
        <w:tblCellMar>
          <w:top w:w="0" w:type="dxa"/>
          <w:left w:w="0" w:type="dxa"/>
          <w:bottom w:w="0" w:type="dxa"/>
          <w:right w:w="0" w:type="dxa"/>
        </w:tblCellMar>
      </w:tblPr>
      <w:tblGrid>
        <w:gridCol w:w="124"/>
        <w:gridCol w:w="631"/>
        <w:gridCol w:w="4441"/>
      </w:tblGrid>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0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ORANGE COUNTY BANCORP, INC.</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Gilfeather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J. Gilfeather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Lesler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Lesler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120"/>
        <w:ind w:left="0" w:right="0" w:hanging="0"/>
        <w:jc w:val="right"/>
        <w:rPr>
          <w:rFonts w:ascii="Times New Roman;Times;serif" w:hAnsi="Times New Roman;Times;serif"/>
          <w:b/>
          <w:sz w:val="20"/>
        </w:rPr>
      </w:pPr>
      <w:bookmarkStart w:id="2792" w:name="obt-20260630xex31d1.htm"/>
      <w:bookmarkStart w:id="2793" w:name="ksobt20260630xex31d1"/>
      <w:bookmarkEnd w:id="2792"/>
      <w:bookmarkEnd w:id="2793"/>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Michael J. Gilfeather, certify that:</w:t>
      </w:r>
    </w:p>
    <w:tbl>
      <w:tblPr>
        <w:tblW w:w="6993" w:type="dxa"/>
        <w:jc w:val="left"/>
        <w:tblInd w:w="0" w:type="dxa"/>
        <w:tblLayout w:type="fixed"/>
        <w:tblCellMar>
          <w:top w:w="0" w:type="dxa"/>
          <w:left w:w="0" w:type="dxa"/>
          <w:bottom w:w="0" w:type="dxa"/>
          <w:right w:w="0" w:type="dxa"/>
        </w:tblCellMar>
      </w:tblPr>
      <w:tblGrid>
        <w:gridCol w:w="23"/>
        <w:gridCol w:w="170"/>
        <w:gridCol w:w="6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Orange County Bancorp,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120"/>
        <w:ind w:left="108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tc>
      </w:tr>
    </w:tbl>
    <w:p>
      <w:pPr>
        <w:pStyle w:val="TextBody"/>
        <w:pBdr/>
        <w:bidi w:val="0"/>
        <w:spacing w:before="0" w:after="120"/>
        <w:ind w:left="108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120"/>
        <w:ind w:left="108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120"/>
        <w:ind w:left="360" w:right="0" w:hanging="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120"/>
        <w:ind w:left="108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108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793" w:type="dxa"/>
        <w:jc w:val="center"/>
        <w:tblInd w:w="0" w:type="dxa"/>
        <w:tblLayout w:type="fixed"/>
        <w:tblCellMar>
          <w:top w:w="0" w:type="dxa"/>
          <w:left w:w="0" w:type="dxa"/>
          <w:bottom w:w="0" w:type="dxa"/>
          <w:right w:w="0" w:type="dxa"/>
        </w:tblCellMar>
      </w:tblPr>
      <w:tblGrid>
        <w:gridCol w:w="1951"/>
        <w:gridCol w:w="631"/>
        <w:gridCol w:w="3211"/>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Gilfeather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J. Gilfeather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2794" w:name="obt-20260630xex31d2.htm"/>
      <w:bookmarkStart w:id="2795" w:name="ksobt20260630xex31d2"/>
      <w:bookmarkEnd w:id="2794"/>
      <w:bookmarkEnd w:id="2795"/>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Michael Lesler, certify that:</w:t>
      </w:r>
    </w:p>
    <w:tbl>
      <w:tblPr>
        <w:tblW w:w="6993" w:type="dxa"/>
        <w:jc w:val="left"/>
        <w:tblInd w:w="0" w:type="dxa"/>
        <w:tblLayout w:type="fixed"/>
        <w:tblCellMar>
          <w:top w:w="0" w:type="dxa"/>
          <w:left w:w="0" w:type="dxa"/>
          <w:bottom w:w="0" w:type="dxa"/>
          <w:right w:w="0" w:type="dxa"/>
        </w:tblCellMar>
      </w:tblPr>
      <w:tblGrid>
        <w:gridCol w:w="23"/>
        <w:gridCol w:w="170"/>
        <w:gridCol w:w="6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0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Orange County Bancorp,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120"/>
        <w:ind w:left="108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997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tc>
      </w:tr>
    </w:tbl>
    <w:p>
      <w:pPr>
        <w:pStyle w:val="TextBody"/>
        <w:pBdr/>
        <w:bidi w:val="0"/>
        <w:spacing w:before="0" w:after="120"/>
        <w:ind w:left="108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120"/>
        <w:ind w:left="108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120"/>
        <w:ind w:left="360" w:right="0" w:hanging="72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120"/>
        <w:ind w:left="108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120"/>
        <w:ind w:left="108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7023" w:type="dxa"/>
        <w:jc w:val="center"/>
        <w:tblInd w:w="0" w:type="dxa"/>
        <w:tblLayout w:type="fixed"/>
        <w:tblCellMar>
          <w:top w:w="0" w:type="dxa"/>
          <w:left w:w="0" w:type="dxa"/>
          <w:bottom w:w="0" w:type="dxa"/>
          <w:right w:w="0" w:type="dxa"/>
        </w:tblCellMar>
      </w:tblPr>
      <w:tblGrid>
        <w:gridCol w:w="1951"/>
        <w:gridCol w:w="631"/>
        <w:gridCol w:w="4441"/>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Lesler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Lesler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796" w:name="obt-20260630xex32d1.htm"/>
      <w:bookmarkStart w:id="2797" w:name="ksobt20260630xex32d1"/>
      <w:bookmarkEnd w:id="2796"/>
      <w:bookmarkEnd w:id="2797"/>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CEO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Orange County Bancorp, Inc. (the “Company”) on Form 10-Q for the period ended June 30, 2026 (the “Report”), as filed with the Securities and Exchange Commission on the date hereof, I, the undersigned, certify, pursuant to 18 U.S.C. Section 1350, as adopted pursuant to Section 906 of the Sarbanes-Oxley Act of 2002, to the best of my knowledge, that: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793" w:type="dxa"/>
        <w:jc w:val="center"/>
        <w:tblInd w:w="0" w:type="dxa"/>
        <w:tblLayout w:type="fixed"/>
        <w:tblCellMar>
          <w:top w:w="0" w:type="dxa"/>
          <w:left w:w="0" w:type="dxa"/>
          <w:bottom w:w="0" w:type="dxa"/>
          <w:right w:w="0" w:type="dxa"/>
        </w:tblCellMar>
      </w:tblPr>
      <w:tblGrid>
        <w:gridCol w:w="1951"/>
        <w:gridCol w:w="631"/>
        <w:gridCol w:w="3211"/>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J. Gilfeather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J. Gilfeather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798" w:name="obt-20260630xex32d2.htm"/>
      <w:bookmarkStart w:id="2799" w:name="ksobt20260630xex32d2"/>
      <w:bookmarkEnd w:id="2798"/>
      <w:bookmarkEnd w:id="2799"/>
      <w:r>
        <w:rPr/>
        <w:t>​</w:t>
      </w:r>
      <w:r>
        <w:br w:type="page"/>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CFO Pursuant to 18 U.S.C. Section 1350,</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Orange County Bancorp, Inc. (the “Company”) on Form 10-Q for the period ended June 30, 2026 (the “Report”), as filed with the Securities and Exchange Commission on the date hereof, I, the undersigned, certify, pursuant to 18 U.S.C. Section 1350, as adopted pursuant to Section 906 of the Sarbanes-Oxley Act of 2002, to the best of my knowledge, that: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7023" w:type="dxa"/>
        <w:jc w:val="center"/>
        <w:tblInd w:w="0" w:type="dxa"/>
        <w:tblLayout w:type="fixed"/>
        <w:tblCellMar>
          <w:top w:w="0" w:type="dxa"/>
          <w:left w:w="0" w:type="dxa"/>
          <w:bottom w:w="0" w:type="dxa"/>
          <w:right w:w="0" w:type="dxa"/>
        </w:tblCellMar>
      </w:tblPr>
      <w:tblGrid>
        <w:gridCol w:w="1951"/>
        <w:gridCol w:w="631"/>
        <w:gridCol w:w="444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1238885" cy="29210"/>
                      <wp:effectExtent l="0" t="0" r="0" b="0"/>
                      <wp:wrapNone/>
                      <wp:docPr id="954" name="Frame954"/>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400685" cy="29210"/>
                      <wp:effectExtent l="0" t="0" r="0" b="0"/>
                      <wp:wrapNone/>
                      <wp:docPr id="955" name="Frame955"/>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2820035" cy="29210"/>
                      <wp:effectExtent l="0" t="0" r="0" b="0"/>
                      <wp:wrapNone/>
                      <wp:docPr id="956" name="Frame956"/>
                      <a:graphic xmlns:a="http://schemas.openxmlformats.org/drawingml/2006/main">
                        <a:graphicData uri="http://schemas.microsoft.com/office/word/2010/wordprocessingShape">
                          <wps:wsp>
                            <wps:cNvSpPr txBox="1"/>
                            <wps:spPr>
                              <a:xfrm>
                                <a:off x="0" y="0"/>
                                <a:ext cx="2820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Lesler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Lesler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28970</Words>
  <Characters>158495</Characters>
  <CharactersWithSpaces>195479</CharactersWithSpaces>
  <Paragraphs>17034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