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-228600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4003675</wp:posOffset>
            </wp:positionH>
            <wp:positionV relativeFrom="paragraph">
              <wp:posOffset>-632460</wp:posOffset>
            </wp:positionV>
            <wp:extent cx="58420" cy="645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752475</wp:posOffset>
            </wp:positionV>
            <wp:extent cx="6992620" cy="53371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337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20"/>
            <w:col w:w="854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Keane Kevin J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8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Orange County Bancorp, Inc. /DE/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OBT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6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212 DOLSON AVENUE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-4" w:right="600" w:firstLine="4"/>
        <w:spacing w:after="0" w:line="266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64"/>
            <w:col w:w="3336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3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MIDDLETON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10940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5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Beneficially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0"/>
              </w:rPr>
              <w:t>19,266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0"/>
                <w:vertAlign w:val="superscript"/>
              </w:rPr>
              <w:t>(1)(2)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7,400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Partnership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left="3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832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0" w:type="dxa"/>
            <w:vAlign w:val="bottom"/>
            <w:gridSpan w:val="10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Transaction(s)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06/15/2026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92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35.35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18,194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-2022475</wp:posOffset>
            </wp:positionV>
            <wp:extent cx="29210" cy="20275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27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restricted stock units which vest 100% as of the date of grant and are settled in shares of Issuer common stock upon separation from service of the reporting person.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restricted stock units which vest 100% on February 19, 2027, and are settled in shares of Issuer common stock upon separation from service of the reporting person.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share of phantom stock is the economic equivalent of one share of common stock and becomes payable upon the reporting person's separation of service as a director.</w:t>
      </w:r>
    </w:p>
    <w:p>
      <w:pPr>
        <w:spacing w:after="0" w:line="59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Jennifer Staub, pursuant to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06/16/2026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07910" TargetMode="External"/><Relationship Id="rId14" Type="http://schemas.openxmlformats.org/officeDocument/2006/relationships/hyperlink" Target="http://www.sec.gov/cgi-bin/browse-edgar?action=getcompany&amp;CIK=000175422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2026-06-17T08:59:52Z</dcterms:created>
  <dcterms:modified xsi:type="dcterms:W3CDTF">2026-06-17T08:59:52Z</dcterms:modified>
</cp:coreProperties>
</file>