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2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-228600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9" w:lineRule="exact"/>
        <w:rPr>
          <w:sz w:val="24"/>
          <w:szCs w:val="24"/>
          <w:color w:val="auto"/>
        </w:rPr>
      </w:pPr>
    </w:p>
    <w:p>
      <w:pPr>
        <w:ind w:left="3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-666750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8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4"/>
        </w:trPr>
        <w:tc>
          <w:tcPr>
            <w:tcW w:w="6320" w:type="dxa"/>
            <w:vAlign w:val="bottom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-632460</wp:posOffset>
            </wp:positionV>
            <wp:extent cx="58420" cy="64579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4003675</wp:posOffset>
            </wp:positionH>
            <wp:positionV relativeFrom="paragraph">
              <wp:posOffset>-632460</wp:posOffset>
            </wp:positionV>
            <wp:extent cx="58420" cy="6457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5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752475</wp:posOffset>
            </wp:positionV>
            <wp:extent cx="6992620" cy="477456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4774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20"/>
            <w:col w:w="8540"/>
          </w:cols>
          <w:pgMar w:left="460" w:top="216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1"/>
        </w:trPr>
        <w:tc>
          <w:tcPr>
            <w:tcW w:w="368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1"/>
                <w:szCs w:val="21"/>
                <w:color w:val="auto"/>
                <w:vertAlign w:val="superscript"/>
              </w:rPr>
              <w:t>*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Kennedy Marianna R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18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Orange County Bancorp, Inc. /DE/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OBT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340" w:type="dxa"/>
            <w:vAlign w:val="bottom"/>
            <w:tcBorders>
              <w:top w:val="single" w:sz="8" w:color="EEEEEE"/>
            </w:tcBorders>
            <w:gridSpan w:val="2"/>
            <w:vMerge w:val="restart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280" w:type="dxa"/>
            <w:vAlign w:val="bottom"/>
            <w:gridSpan w:val="3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60" w:type="dxa"/>
            <w:vAlign w:val="bottom"/>
            <w:gridSpan w:val="4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06/15/2026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212 DOLSON AVENUE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ind w:left="-4" w:right="600" w:firstLine="4"/>
        <w:spacing w:after="0" w:line="266" w:lineRule="auto"/>
        <w:tabs>
          <w:tab w:leader="none" w:pos="14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0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516"/>
        <w:spacing w:after="0"/>
        <w:tabs>
          <w:tab w:leader="none" w:pos="2055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11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80" w:space="64"/>
            <w:col w:w="3336"/>
          </w:cols>
          <w:pgMar w:left="460" w:top="216" w:right="359" w:bottom="1440" w:gutter="0" w:footer="0" w:header="0"/>
          <w:type w:val="continuous"/>
        </w:sectPr>
      </w:pPr>
    </w:p>
    <w:p>
      <w:pPr>
        <w:spacing w:after="0" w:line="23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MIDDLETOWN NY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10940</w:t>
            </w:r>
          </w:p>
        </w:tc>
      </w:tr>
      <w:tr>
        <w:trPr>
          <w:trHeight w:val="1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2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98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6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1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6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00" w:type="dxa"/>
            <w:vAlign w:val="bottom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9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80"/>
              <w:spacing w:after="0" w:line="31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3"/>
                <w:szCs w:val="33"/>
                <w:color w:val="0000FF"/>
                <w:vertAlign w:val="subscript"/>
              </w:rPr>
              <w:t>1,466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(1)(2)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80" w:type="dxa"/>
            <w:vAlign w:val="bottom"/>
            <w:gridSpan w:val="11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1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06/15/2026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51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51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35.35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10,141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-2022475</wp:posOffset>
            </wp:positionV>
            <wp:extent cx="29210" cy="20275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275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as of the date of grant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Includes restricted stock units which vest 100% on February 19, 2027, and are settled in shares of Issuer common stock upon separation from service of the reporting person.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is the economic equivalent of one share of common stock and becomes payable upon the reporting person's separation of service as a director.</w:t>
      </w:r>
    </w:p>
    <w:p>
      <w:pPr>
        <w:spacing w:after="0" w:line="59" w:lineRule="exact"/>
        <w:rPr>
          <w:sz w:val="20"/>
          <w:szCs w:val="20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/s/ Jennifer Staub, pursuant to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06/16/2026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8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2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0"/>
          <w:szCs w:val="20"/>
          <w:color w:val="auto"/>
        </w:rPr>
      </w:pPr>
    </w:p>
    <w:p>
      <w:pPr>
        <w:jc w:val="both"/>
        <w:ind w:left="40" w:right="3520" w:firstLine="3"/>
        <w:spacing w:after="0" w:line="313" w:lineRule="auto"/>
        <w:tabs>
          <w:tab w:leader="none" w:pos="178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47963" TargetMode="External"/><Relationship Id="rId14" Type="http://schemas.openxmlformats.org/officeDocument/2006/relationships/hyperlink" Target="http://www.sec.gov/cgi-bin/browse-edgar?action=getcompany&amp;CIK=000175422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2026-06-17T08:58:59Z</dcterms:created>
  <dcterms:modified xsi:type="dcterms:W3CDTF">2026-06-17T08:58:59Z</dcterms:modified>
</cp:coreProperties>
</file>