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83171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8317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Jones Elizabeth A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54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7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212 DOLSON AVENUE</w:t>
            </w: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69"/>
        </w:trPr>
        <w:tc>
          <w:tcPr>
            <w:tcW w:w="1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MIDDLETON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NY</w:t>
            </w:r>
          </w:p>
        </w:tc>
        <w:tc>
          <w:tcPr>
            <w:tcW w:w="154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10940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54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</w:tr>
      <w:tr>
        <w:trPr>
          <w:trHeight w:val="22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213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Orange County Bancorp, Inc. /DE/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OBT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</w:tr>
      <w:tr>
        <w:trPr>
          <w:trHeight w:val="14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</w:tr>
      <w:tr>
        <w:trPr>
          <w:trHeight w:val="125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</w:tr>
      <w:tr>
        <w:trPr>
          <w:trHeight w:val="185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</w:tr>
      <w:tr>
        <w:trPr>
          <w:trHeight w:val="253"/>
        </w:trPr>
        <w:tc>
          <w:tcPr>
            <w:tcW w:w="30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03/19/2026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100" w:type="dxa"/>
            <w:vAlign w:val="bottom"/>
            <w:gridSpan w:val="2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SVP, Chief Operating Officer</w:t>
            </w:r>
          </w:p>
        </w:tc>
      </w:tr>
      <w:tr>
        <w:trPr>
          <w:trHeight w:val="24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6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03/19/2026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3,792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00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11,922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(1)(2)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03/19/2026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656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31.15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11,266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(1)(2)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Amount 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Includes restricted stock units which vest at a rate of 1/3 per year commencing on March 21, 2025.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Includes restricted stock units which vest at a rate of 1/3 per year commencing on March 20, 2026.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Restricted stock units which vest at a rate of 1/3 per year commencing on March 19, 2027.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5"/>
        </w:trPr>
        <w:tc>
          <w:tcPr>
            <w:tcW w:w="208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Jennifer Staub, pursuant to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03/23/2026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40" w:type="dxa"/>
            <w:vAlign w:val="bottom"/>
            <w:gridSpan w:val="3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power of attorney</w:t>
            </w: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2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1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915399" TargetMode="External"/><Relationship Id="rId14" Type="http://schemas.openxmlformats.org/officeDocument/2006/relationships/hyperlink" Target="http://www.sec.gov/cgi-bin/browse-edgar?action=getcompany&amp;CIK=000175422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2026-03-23T16:52:10Z</dcterms:created>
  <dcterms:modified xsi:type="dcterms:W3CDTF">2026-03-23T16:52:10Z</dcterms:modified>
</cp:coreProperties>
</file>