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Sousa Gregory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Deputy 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(1)(2)(3)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at a rate of 1/3 per year commencing on March 21,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at a rate of 1/3 per year commencing on March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which vest at a rate of 1/3 per year commencing on March 19,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transactions not required to be reported pursuant to Section 16 of the Securities Exchange Act of 1934, as amended.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deemed investments in connection with the Performance-Based SERP. Phantom stock interests under the Performance-Based SERP may be settled in shares of Company stock upon distribution to the reporting person, based on their prior election.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279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3729</Characters>
  <CharactersWithSpaces>4344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