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Sousa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Deputy CLO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38.75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38.75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</w:tbl>
    <w:tbl>
      <w:tblPr>
        <w:tblW w:w="1178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8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at a rate of 1/3 per year commencing on March 21,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at a rate of 1/3 per year commencing on March 20,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which vest at a rate of 1/3 per year commencing on March 19,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transactions not required to be reported pursuant to Section 16 of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deemed investments in connection with the Performance-Based SERP. Phantom stock interests under the Performance-Based SERP may be settled in shares of Company stock upon distribution to the reporting person, based on their prior election.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279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706</Words>
  <Characters>3775</Characters>
  <CharactersWithSpaces>4390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