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rFonts w:ascii="Times New Roman" w:hAnsi="Times New Roman"/>
          <w:b/>
          <w:sz w:val="24"/>
        </w:rPr>
      </w:pPr>
      <w:bookmarkStart w:id="0" w:name="obt-20260728.htm"/>
      <w:bookmarkStart w:id="1" w:name="ksobt20260728"/>
      <w:bookmarkEnd w:id="0"/>
      <w:bookmarkEnd w:id="1"/>
      <w:r>
        <w:rPr>
          <w:rFonts w:ascii="Times New Roman" w:hAnsi="Times New Roman"/>
          <w:b/>
          <w:sz w:val="24"/>
        </w:rPr>
        <w:t xml:space="preserve">UNITED STATES </w:t>
      </w:r>
    </w:p>
    <w:p>
      <w:pPr>
        <w:pStyle w:val="TextBody"/>
        <w:bidi w:val="0"/>
        <w:spacing w:before="0" w:after="0"/>
        <w:jc w:val="center"/>
        <w:rPr>
          <w:rFonts w:ascii="Times New Roman" w:hAnsi="Times New Roman"/>
          <w:sz w:val="24"/>
        </w:rPr>
      </w:pPr>
      <w:r>
        <w:rPr>
          <w:rFonts w:ascii="Times New Roman" w:hAnsi="Times New Roman"/>
          <w:b/>
          <w:sz w:val="24"/>
        </w:rPr>
        <w:t>SECURITIES AND EXCHANGE COMMISSION</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b/>
          <w:sz w:val="24"/>
        </w:rPr>
        <w:t>WASHINGTON, D.C. 20549</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8"/>
        </w:rPr>
        <w:t>FORM 8-K</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4"/>
        </w:rPr>
        <w:t>CURRENT REPORT</w:t>
      </w:r>
      <w:r>
        <w:rPr>
          <w:rFonts w:ascii="Times New Roman" w:hAnsi="Times New Roman"/>
          <w:sz w:val="24"/>
        </w:rPr>
        <w:t xml:space="preserve">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sz w:val="24"/>
        </w:rPr>
        <w:t xml:space="preserve">PURSUANT TO SECTION 13 OR 15(D) OF </w:t>
      </w:r>
    </w:p>
    <w:p>
      <w:pPr>
        <w:pStyle w:val="TextBody"/>
        <w:bidi w:val="0"/>
        <w:spacing w:before="0" w:after="0"/>
        <w:jc w:val="center"/>
        <w:rPr>
          <w:rFonts w:ascii="Times New Roman" w:hAnsi="Times New Roman"/>
          <w:sz w:val="24"/>
        </w:rPr>
      </w:pPr>
      <w:r>
        <w:rPr>
          <w:rFonts w:ascii="Times New Roman" w:hAnsi="Times New Roman"/>
          <w:sz w:val="24"/>
        </w:rPr>
        <w:t xml:space="preserve">THE SECURITIES EXCHANGE ACT OF 1934 </w:t>
      </w:r>
    </w:p>
    <w:p>
      <w:pPr>
        <w:pStyle w:val="TextBody"/>
        <w:bidi w:val="0"/>
        <w:spacing w:before="0" w:after="0"/>
        <w:jc w:val="center"/>
        <w:rPr/>
      </w:pPr>
      <w:r>
        <w:rPr/>
        <w:t xml:space="preserve">  </w:t>
      </w:r>
    </w:p>
    <w:p>
      <w:pPr>
        <w:pStyle w:val="TextBody"/>
        <w:bidi w:val="0"/>
        <w:spacing w:before="0" w:after="0"/>
        <w:jc w:val="center"/>
        <w:rPr>
          <w:rFonts w:ascii="Times New Roman" w:hAnsi="Times New Roman"/>
          <w:sz w:val="24"/>
        </w:rPr>
      </w:pPr>
      <w:r>
        <w:rPr>
          <w:rFonts w:ascii="Times New Roman" w:hAnsi="Times New Roman"/>
          <w:sz w:val="24"/>
        </w:rPr>
        <w:t xml:space="preserve">Date of Report (Date of earliest event reported): July 28, 2026 </w:t>
      </w:r>
    </w:p>
    <w:p>
      <w:pPr>
        <w:pStyle w:val="TextBody"/>
        <w:bidi w:val="0"/>
        <w:spacing w:before="0" w:after="0"/>
        <w:jc w:val="both"/>
        <w:rPr/>
      </w:pPr>
      <w:r>
        <w:rPr/>
        <w:t xml:space="preserve">  </w:t>
      </w:r>
    </w:p>
    <w:p>
      <w:pPr>
        <w:pStyle w:val="TextBody"/>
        <w:bidi w:val="0"/>
        <w:spacing w:before="0" w:after="0"/>
        <w:jc w:val="center"/>
        <w:rPr>
          <w:rFonts w:ascii="Times New Roman" w:hAnsi="Times New Roman"/>
          <w:sz w:val="24"/>
        </w:rPr>
      </w:pPr>
      <w:r>
        <w:rPr>
          <w:rFonts w:ascii="Times New Roman" w:hAnsi="Times New Roman"/>
          <w:b/>
          <w:sz w:val="24"/>
          <w:u w:val="single"/>
        </w:rPr>
        <w:t>Orange County Bancorp, Inc.</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sz w:val="24"/>
        </w:rPr>
        <w:t xml:space="preserve">(Exact Name of Registrant as Specified in Charter) </w:t>
      </w:r>
    </w:p>
    <w:p>
      <w:pPr>
        <w:pStyle w:val="TextBody"/>
        <w:bidi w:val="0"/>
        <w:spacing w:before="0" w:after="0"/>
        <w:jc w:val="both"/>
        <w:rPr/>
      </w:pPr>
      <w:r>
        <w:rPr/>
        <w:t xml:space="preserve">  </w:t>
      </w:r>
    </w:p>
    <w:tbl>
      <w:tblPr>
        <w:tblW w:w="6016" w:type="dxa"/>
        <w:jc w:val="left"/>
        <w:tblInd w:w="0" w:type="dxa"/>
        <w:tblLayout w:type="fixed"/>
        <w:tblCellMar>
          <w:top w:w="28" w:type="dxa"/>
          <w:left w:w="28" w:type="dxa"/>
          <w:bottom w:w="28" w:type="dxa"/>
          <w:right w:w="28" w:type="dxa"/>
        </w:tblCellMar>
      </w:tblPr>
      <w:tblGrid>
        <w:gridCol w:w="2455"/>
        <w:gridCol w:w="2060"/>
        <w:gridCol w:w="1501"/>
      </w:tblGrid>
      <w:tr>
        <w:trPr/>
        <w:tc>
          <w:tcPr>
            <w:tcW w:w="2455" w:type="dxa"/>
            <w:tcBorders/>
            <w:vAlign w:val="center"/>
          </w:tcPr>
          <w:p>
            <w:pPr>
              <w:pStyle w:val="TableContents"/>
              <w:bidi w:val="0"/>
              <w:spacing w:before="0" w:after="283"/>
              <w:jc w:val="center"/>
              <w:rPr/>
            </w:pPr>
            <w:r>
              <w:rPr/>
              <w:t> </w:t>
            </w:r>
          </w:p>
        </w:tc>
        <w:tc>
          <w:tcPr>
            <w:tcW w:w="2060"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 </w:t>
            </w:r>
          </w:p>
        </w:tc>
      </w:tr>
      <w:tr>
        <w:trPr/>
        <w:tc>
          <w:tcPr>
            <w:tcW w:w="2455" w:type="dxa"/>
            <w:tcBorders/>
            <w:vAlign w:val="center"/>
          </w:tcPr>
          <w:p>
            <w:pPr>
              <w:pStyle w:val="TableContents"/>
              <w:bidi w:val="0"/>
              <w:spacing w:before="0" w:after="283"/>
              <w:jc w:val="center"/>
              <w:rPr>
                <w:sz w:val="24"/>
                <w:u w:val="single"/>
              </w:rPr>
            </w:pPr>
            <w:r>
              <w:rPr>
                <w:sz w:val="24"/>
                <w:u w:val="single"/>
              </w:rPr>
              <w:t xml:space="preserve">Delaware </w:t>
            </w:r>
          </w:p>
        </w:tc>
        <w:tc>
          <w:tcPr>
            <w:tcW w:w="2060" w:type="dxa"/>
            <w:tcBorders/>
            <w:vAlign w:val="center"/>
          </w:tcPr>
          <w:p>
            <w:pPr>
              <w:pStyle w:val="TableContents"/>
              <w:bidi w:val="0"/>
              <w:spacing w:before="0" w:after="283"/>
              <w:jc w:val="center"/>
              <w:rPr>
                <w:sz w:val="24"/>
                <w:u w:val="single"/>
              </w:rPr>
            </w:pPr>
            <w:r>
              <w:rPr>
                <w:sz w:val="24"/>
                <w:u w:val="single"/>
              </w:rPr>
              <w:t xml:space="preserve">001-40711 </w:t>
            </w:r>
          </w:p>
        </w:tc>
        <w:tc>
          <w:tcPr>
            <w:tcW w:w="1501" w:type="dxa"/>
            <w:tcBorders/>
            <w:vAlign w:val="center"/>
          </w:tcPr>
          <w:p>
            <w:pPr>
              <w:pStyle w:val="TableContents"/>
              <w:bidi w:val="0"/>
              <w:spacing w:before="0" w:after="283"/>
              <w:jc w:val="center"/>
              <w:rPr>
                <w:sz w:val="24"/>
                <w:u w:val="single"/>
              </w:rPr>
            </w:pPr>
            <w:r>
              <w:rPr>
                <w:sz w:val="24"/>
                <w:u w:val="single"/>
              </w:rPr>
              <w:t xml:space="preserve">26-1135778 </w:t>
            </w:r>
          </w:p>
        </w:tc>
      </w:tr>
      <w:tr>
        <w:trPr/>
        <w:tc>
          <w:tcPr>
            <w:tcW w:w="2455" w:type="dxa"/>
            <w:tcBorders/>
            <w:vAlign w:val="center"/>
          </w:tcPr>
          <w:p>
            <w:pPr>
              <w:pStyle w:val="TableContents"/>
              <w:bidi w:val="0"/>
              <w:spacing w:before="0" w:after="0"/>
              <w:jc w:val="center"/>
              <w:rPr>
                <w:sz w:val="18"/>
              </w:rPr>
            </w:pPr>
            <w:r>
              <w:rPr>
                <w:sz w:val="18"/>
              </w:rPr>
              <w:t xml:space="preserve">(State or Other Jurisdiction) </w:t>
            </w:r>
          </w:p>
        </w:tc>
        <w:tc>
          <w:tcPr>
            <w:tcW w:w="2060" w:type="dxa"/>
            <w:tcBorders/>
            <w:vAlign w:val="center"/>
          </w:tcPr>
          <w:p>
            <w:pPr>
              <w:pStyle w:val="TableContents"/>
              <w:bidi w:val="0"/>
              <w:spacing w:before="0" w:after="0"/>
              <w:jc w:val="center"/>
              <w:rPr>
                <w:sz w:val="18"/>
              </w:rPr>
            </w:pPr>
            <w:r>
              <w:rPr>
                <w:sz w:val="18"/>
              </w:rPr>
              <w:t xml:space="preserve">(Commission File No.) </w:t>
            </w:r>
          </w:p>
        </w:tc>
        <w:tc>
          <w:tcPr>
            <w:tcW w:w="1501" w:type="dxa"/>
            <w:tcBorders/>
            <w:vAlign w:val="center"/>
          </w:tcPr>
          <w:p>
            <w:pPr>
              <w:pStyle w:val="TableContents"/>
              <w:bidi w:val="0"/>
              <w:spacing w:before="0" w:after="0"/>
              <w:jc w:val="center"/>
              <w:rPr>
                <w:sz w:val="18"/>
              </w:rPr>
            </w:pPr>
            <w:r>
              <w:rPr>
                <w:sz w:val="18"/>
              </w:rPr>
              <w:t xml:space="preserve">(I.R.S. Employer </w:t>
            </w:r>
          </w:p>
        </w:tc>
      </w:tr>
      <w:tr>
        <w:trPr/>
        <w:tc>
          <w:tcPr>
            <w:tcW w:w="2455" w:type="dxa"/>
            <w:tcBorders/>
            <w:vAlign w:val="center"/>
          </w:tcPr>
          <w:p>
            <w:pPr>
              <w:pStyle w:val="TableContents"/>
              <w:bidi w:val="0"/>
              <w:spacing w:before="0" w:after="283"/>
              <w:jc w:val="center"/>
              <w:rPr>
                <w:sz w:val="18"/>
              </w:rPr>
            </w:pPr>
            <w:r>
              <w:rPr>
                <w:sz w:val="18"/>
              </w:rPr>
              <w:t xml:space="preserve">of Incorporation) </w:t>
            </w:r>
          </w:p>
        </w:tc>
        <w:tc>
          <w:tcPr>
            <w:tcW w:w="2060"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sz w:val="18"/>
              </w:rPr>
            </w:pPr>
            <w:r>
              <w:rPr>
                <w:sz w:val="18"/>
              </w:rPr>
              <w:t xml:space="preserve">Identification No.) </w:t>
            </w:r>
          </w:p>
        </w:tc>
      </w:tr>
      <w:tr>
        <w:trPr/>
        <w:tc>
          <w:tcPr>
            <w:tcW w:w="2455" w:type="dxa"/>
            <w:tcBorders/>
            <w:vAlign w:val="center"/>
          </w:tcPr>
          <w:p>
            <w:pPr>
              <w:pStyle w:val="TableContents"/>
              <w:bidi w:val="0"/>
              <w:spacing w:before="0" w:after="283"/>
              <w:jc w:val="center"/>
              <w:rPr/>
            </w:pPr>
            <w:r>
              <w:rPr/>
              <w:t> </w:t>
            </w:r>
          </w:p>
        </w:tc>
        <w:tc>
          <w:tcPr>
            <w:tcW w:w="2060" w:type="dxa"/>
            <w:tcBorders/>
            <w:vAlign w:val="center"/>
          </w:tcPr>
          <w:p>
            <w:pPr>
              <w:pStyle w:val="TableContents"/>
              <w:bidi w:val="0"/>
              <w:spacing w:before="0" w:after="283"/>
              <w:jc w:val="center"/>
              <w:rPr/>
            </w:pPr>
            <w:r>
              <w:rPr/>
              <w:t> </w:t>
            </w:r>
          </w:p>
        </w:tc>
        <w:tc>
          <w:tcPr>
            <w:tcW w:w="1501" w:type="dxa"/>
            <w:tcBorders/>
            <w:vAlign w:val="center"/>
          </w:tcPr>
          <w:p>
            <w:pPr>
              <w:pStyle w:val="TableContents"/>
              <w:bidi w:val="0"/>
              <w:spacing w:before="0" w:after="283"/>
              <w:jc w:val="center"/>
              <w:rPr/>
            </w:pPr>
            <w:r>
              <w:rPr/>
              <w:t> </w:t>
            </w:r>
          </w:p>
        </w:tc>
      </w:tr>
      <w:tr>
        <w:trPr/>
        <w:tc>
          <w:tcPr>
            <w:tcW w:w="4515" w:type="dxa"/>
            <w:gridSpan w:val="2"/>
            <w:tcBorders/>
            <w:vAlign w:val="center"/>
          </w:tcPr>
          <w:p>
            <w:pPr>
              <w:pStyle w:val="TableContents"/>
              <w:bidi w:val="0"/>
              <w:spacing w:before="0" w:after="283"/>
              <w:jc w:val="center"/>
              <w:rPr>
                <w:sz w:val="24"/>
                <w:u w:val="single"/>
              </w:rPr>
            </w:pPr>
            <w:r>
              <w:rPr>
                <w:sz w:val="24"/>
                <w:u w:val="single"/>
              </w:rPr>
              <w:t xml:space="preserve">212 Dolson Avenue, Middletown, New York </w:t>
            </w:r>
          </w:p>
        </w:tc>
        <w:tc>
          <w:tcPr>
            <w:tcW w:w="1501" w:type="dxa"/>
            <w:tcBorders/>
            <w:vAlign w:val="center"/>
          </w:tcPr>
          <w:p>
            <w:pPr>
              <w:pStyle w:val="TableContents"/>
              <w:bidi w:val="0"/>
              <w:spacing w:before="0" w:after="283"/>
              <w:jc w:val="center"/>
              <w:rPr>
                <w:sz w:val="24"/>
                <w:u w:val="single"/>
              </w:rPr>
            </w:pPr>
            <w:r>
              <w:rPr>
                <w:sz w:val="24"/>
                <w:u w:val="single"/>
              </w:rPr>
              <w:t xml:space="preserve">10940 </w:t>
            </w:r>
          </w:p>
        </w:tc>
      </w:tr>
      <w:tr>
        <w:trPr/>
        <w:tc>
          <w:tcPr>
            <w:tcW w:w="4515" w:type="dxa"/>
            <w:gridSpan w:val="2"/>
            <w:tcBorders/>
            <w:vAlign w:val="center"/>
          </w:tcPr>
          <w:p>
            <w:pPr>
              <w:pStyle w:val="TableContents"/>
              <w:bidi w:val="0"/>
              <w:spacing w:before="0" w:after="283"/>
              <w:jc w:val="center"/>
              <w:rPr>
                <w:sz w:val="18"/>
              </w:rPr>
            </w:pPr>
            <w:r>
              <w:rPr>
                <w:sz w:val="18"/>
              </w:rPr>
              <w:t xml:space="preserve">(Address of Principal Executive Offices) </w:t>
            </w:r>
          </w:p>
        </w:tc>
        <w:tc>
          <w:tcPr>
            <w:tcW w:w="1501" w:type="dxa"/>
            <w:tcBorders/>
            <w:vAlign w:val="center"/>
          </w:tcPr>
          <w:p>
            <w:pPr>
              <w:pStyle w:val="TableContents"/>
              <w:bidi w:val="0"/>
              <w:spacing w:before="0" w:after="283"/>
              <w:jc w:val="center"/>
              <w:rPr>
                <w:sz w:val="18"/>
              </w:rPr>
            </w:pPr>
            <w:r>
              <w:rPr>
                <w:sz w:val="18"/>
              </w:rPr>
              <w:t xml:space="preserve">(Zip Code) </w:t>
            </w:r>
          </w:p>
        </w:tc>
      </w:tr>
    </w:tbl>
    <w:p>
      <w:pPr>
        <w:pStyle w:val="TextBody"/>
        <w:bidi w:val="0"/>
        <w:spacing w:before="0" w:after="0"/>
        <w:jc w:val="both"/>
        <w:rPr/>
      </w:pPr>
      <w:r>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4"/>
        </w:rPr>
      </w:pPr>
      <w:r>
        <w:rPr>
          <w:rFonts w:ascii="Times New Roman" w:hAnsi="Times New Roman"/>
          <w:sz w:val="24"/>
        </w:rPr>
        <w:t xml:space="preserve">Registrant's telephone number, including area code: </w:t>
      </w:r>
      <w:r>
        <w:rPr>
          <w:rFonts w:ascii="Times New Roman" w:hAnsi="Times New Roman"/>
          <w:color w:val="000000"/>
          <w:sz w:val="24"/>
          <w:u w:val="single"/>
        </w:rPr>
        <w:t>(845) 341-5000</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center"/>
        <w:rPr>
          <w:rFonts w:ascii="Times New Roman" w:hAnsi="Times New Roman"/>
          <w:sz w:val="24"/>
        </w:rPr>
      </w:pPr>
      <w:r>
        <w:rPr>
          <w:rFonts w:ascii="Times New Roman" w:hAnsi="Times New Roman"/>
          <w:sz w:val="24"/>
          <w:u w:val="single"/>
        </w:rPr>
        <w:t>Not Applicable</w:t>
      </w:r>
      <w:r>
        <w:rPr>
          <w:rFonts w:ascii="Times New Roman" w:hAnsi="Times New Roman"/>
          <w:sz w:val="24"/>
        </w:rPr>
        <w:t xml:space="preserve"> </w:t>
      </w:r>
    </w:p>
    <w:p>
      <w:pPr>
        <w:pStyle w:val="TextBody"/>
        <w:bidi w:val="0"/>
        <w:spacing w:before="0" w:after="0"/>
        <w:jc w:val="center"/>
        <w:rPr>
          <w:rFonts w:ascii="Times New Roman" w:hAnsi="Times New Roman"/>
          <w:sz w:val="24"/>
        </w:rPr>
      </w:pPr>
      <w:r>
        <w:rPr>
          <w:rFonts w:ascii="Times New Roman" w:hAnsi="Times New Roman"/>
          <w:sz w:val="24"/>
        </w:rPr>
        <w:t xml:space="preserve">(Former name or former address, if changed since last report)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rFonts w:ascii="Times New Roman" w:hAnsi="Times New Roman"/>
          <w:sz w:val="24"/>
        </w:rPr>
      </w:pPr>
      <w:r>
        <w:rPr>
          <w:rFonts w:ascii="Times New Roman" w:hAnsi="Times New Roman"/>
          <w:sz w:val="24"/>
        </w:rPr>
        <w:t xml:space="preserve">Check the appropriate box below if the Form 8-K filing is intended to simultaneously satisfy the filing obligation of the registrant under any of the following provisions (see General Instruction A.2. below): </w:t>
      </w:r>
    </w:p>
    <w:p>
      <w:pPr>
        <w:pStyle w:val="TextBody"/>
        <w:bidi w:val="0"/>
        <w:spacing w:before="0" w:after="0"/>
        <w:jc w:val="both"/>
        <w:rPr/>
      </w:pPr>
      <w:r>
        <w:rPr/>
        <w:t xml:space="preserve">  </w:t>
      </w:r>
    </w:p>
    <w:p>
      <w:pPr>
        <w:pStyle w:val="TextBody"/>
        <w:bidi w:val="0"/>
        <w:spacing w:before="0" w:after="0"/>
        <w:ind w:left="0" w:right="0" w:hanging="540"/>
        <w:jc w:val="both"/>
        <w:rPr>
          <w:rFonts w:ascii="Times New Roman" w:hAnsi="Times New Roman"/>
          <w:sz w:val="24"/>
        </w:rPr>
      </w:pPr>
      <w:r>
        <w:rPr>
          <w:rFonts w:ascii="Times New Roman" w:hAnsi="Times New Roman"/>
          <w:sz w:val="24"/>
        </w:rPr>
        <w:t xml:space="preserve">Written communications pursuant to Rule 425 under the Securities Act (17 CFR 230.425) </w:t>
      </w:r>
      <w:r>
        <mc:AlternateContent>
          <mc:Choice Requires="wps">
            <w:drawing>
              <wp:anchor behindDoc="0" distT="0" distB="0" distL="0" distR="0" simplePos="0" locked="0" layoutInCell="1" allowOverlap="1" relativeHeight="2">
                <wp:simplePos x="0" y="0"/>
                <wp:positionH relativeFrom="column">
                  <wp:align>left</wp:align>
                </wp:positionH>
                <wp:positionV relativeFrom="line">
                  <wp:posOffset>635</wp:posOffset>
                </wp:positionV>
                <wp:extent cx="342900" cy="175260"/>
                <wp:effectExtent l="0" t="0" r="0" b="0"/>
                <wp:wrapSquare wrapText="right"/>
                <wp:docPr id="1" name="Frame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  ]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 </w:t>
                      </w:r>
                    </w:p>
                  </w:txbxContent>
                </v:textbox>
                <w10:wrap type="square" side="right"/>
              </v:rect>
            </w:pict>
          </mc:Fallback>
        </mc:AlternateContent>
      </w:r>
    </w:p>
    <w:p>
      <w:pPr>
        <w:pStyle w:val="TextBody"/>
        <w:bidi w:val="0"/>
        <w:spacing w:before="0" w:after="0"/>
        <w:ind w:left="540" w:right="0" w:hanging="0"/>
        <w:jc w:val="both"/>
        <w:rPr/>
      </w:pPr>
      <w:r>
        <w:rPr/>
        <w:t xml:space="preserve">  </w:t>
      </w:r>
    </w:p>
    <w:p>
      <w:pPr>
        <w:pStyle w:val="TextBody"/>
        <w:bidi w:val="0"/>
        <w:spacing w:before="0" w:after="0"/>
        <w:ind w:left="0" w:right="0" w:hanging="540"/>
        <w:jc w:val="both"/>
        <w:rPr>
          <w:rFonts w:ascii="Times New Roman" w:hAnsi="Times New Roman"/>
          <w:sz w:val="24"/>
        </w:rPr>
      </w:pPr>
      <w:r>
        <w:rPr>
          <w:rFonts w:ascii="Times New Roman" w:hAnsi="Times New Roman"/>
          <w:sz w:val="24"/>
        </w:rPr>
        <w:t xml:space="preserve">Soliciting material pursuant to Rule 14a-12 under the Exchange Act (17 CFR 240.14a-12) </w:t>
      </w:r>
      <w:r>
        <mc:AlternateContent>
          <mc:Choice Requires="wps">
            <w:drawing>
              <wp:anchor behindDoc="0" distT="0" distB="0" distL="0" distR="0" simplePos="0" locked="0" layoutInCell="1" allowOverlap="1" relativeHeight="4">
                <wp:simplePos x="0" y="0"/>
                <wp:positionH relativeFrom="column">
                  <wp:align>left</wp:align>
                </wp:positionH>
                <wp:positionV relativeFrom="line">
                  <wp:posOffset>635</wp:posOffset>
                </wp:positionV>
                <wp:extent cx="342900" cy="175260"/>
                <wp:effectExtent l="0" t="0" r="0" b="0"/>
                <wp:wrapSquare wrapText="right"/>
                <wp:docPr id="2" name="Frame2"/>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  ]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 </w:t>
                      </w:r>
                    </w:p>
                  </w:txbxContent>
                </v:textbox>
                <w10:wrap type="square" side="right"/>
              </v:rect>
            </w:pict>
          </mc:Fallback>
        </mc:AlternateContent>
      </w:r>
    </w:p>
    <w:p>
      <w:pPr>
        <w:pStyle w:val="TextBody"/>
        <w:bidi w:val="0"/>
        <w:spacing w:before="0" w:after="0"/>
        <w:ind w:left="540" w:right="0" w:hanging="0"/>
        <w:jc w:val="both"/>
        <w:rPr/>
      </w:pPr>
      <w:r>
        <w:rPr/>
        <w:t xml:space="preserve">  </w:t>
      </w:r>
    </w:p>
    <w:p>
      <w:pPr>
        <w:pStyle w:val="TextBody"/>
        <w:bidi w:val="0"/>
        <w:spacing w:before="0" w:after="0"/>
        <w:ind w:left="0" w:right="0" w:hanging="540"/>
        <w:jc w:val="both"/>
        <w:rPr>
          <w:rFonts w:ascii="Times New Roman" w:hAnsi="Times New Roman"/>
          <w:sz w:val="24"/>
        </w:rPr>
      </w:pPr>
      <w:r>
        <w:rPr>
          <w:rFonts w:ascii="Times New Roman" w:hAnsi="Times New Roman"/>
          <w:sz w:val="24"/>
        </w:rPr>
        <w:t xml:space="preserve">Pre-commencement communications pursuant to Rule 14d-2(b) under the Exchange Act (17 CFR 240.14d-2(b)) </w: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42900" cy="175260"/>
                <wp:effectExtent l="0" t="0" r="0" b="0"/>
                <wp:wrapSquare wrapText="right"/>
                <wp:docPr id="3" name="Frame3"/>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  ]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 </w:t>
                      </w:r>
                    </w:p>
                  </w:txbxContent>
                </v:textbox>
                <w10:wrap type="square" side="right"/>
              </v:rect>
            </w:pict>
          </mc:Fallback>
        </mc:AlternateContent>
      </w:r>
    </w:p>
    <w:p>
      <w:pPr>
        <w:pStyle w:val="TextBody"/>
        <w:bidi w:val="0"/>
        <w:spacing w:before="0" w:after="0"/>
        <w:ind w:left="540" w:right="0" w:hanging="0"/>
        <w:jc w:val="both"/>
        <w:rPr/>
      </w:pPr>
      <w:r>
        <w:rPr/>
        <w:t xml:space="preserve">  </w:t>
      </w:r>
    </w:p>
    <w:p>
      <w:pPr>
        <w:pStyle w:val="TextBody"/>
        <w:bidi w:val="0"/>
        <w:spacing w:before="0" w:after="0"/>
        <w:ind w:left="0" w:right="0" w:hanging="540"/>
        <w:jc w:val="both"/>
        <w:rPr>
          <w:rFonts w:ascii="Times New Roman" w:hAnsi="Times New Roman"/>
          <w:sz w:val="24"/>
        </w:rPr>
      </w:pPr>
      <w:r>
        <w:rPr>
          <w:rFonts w:ascii="Times New Roman" w:hAnsi="Times New Roman"/>
          <w:sz w:val="24"/>
        </w:rPr>
        <w:t xml:space="preserve">Pre-commencement communications pursuant to Rule 13e-4(c) under the Exchange Act (17 CFR 240.13e-4(c)) </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342900" cy="175260"/>
                <wp:effectExtent l="0" t="0" r="0" b="0"/>
                <wp:wrapSquare wrapText="right"/>
                <wp:docPr id="4" name="Frame4"/>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before="0" w:after="283"/>
                              <w:jc w:val="left"/>
                              <w:rPr/>
                            </w:pPr>
                            <w:r>
                              <w:rPr/>
                              <w:t xml:space="preserve">[  ]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t xml:space="preserve">[  ] </w:t>
                      </w:r>
                    </w:p>
                  </w:txbxContent>
                </v:textbox>
                <w10:wrap type="square" side="right"/>
              </v:rect>
            </w:pict>
          </mc:Fallback>
        </mc:AlternateContent>
      </w:r>
    </w:p>
    <w:p>
      <w:pPr>
        <w:pStyle w:val="TextBody"/>
        <w:bidi w:val="0"/>
        <w:spacing w:before="0" w:after="0"/>
        <w:jc w:val="both"/>
        <w:rPr/>
      </w:pPr>
      <w:r>
        <w:rPr/>
        <w:t xml:space="preserve">  </w:t>
      </w:r>
    </w:p>
    <w:p>
      <w:pPr>
        <w:pStyle w:val="TextBody"/>
        <w:bidi w:val="0"/>
        <w:spacing w:lineRule="atLeast" w:line="240" w:before="80" w:after="283"/>
        <w:jc w:val="left"/>
        <w:rPr>
          <w:rFonts w:ascii="Times New Roman" w:hAnsi="Times New Roman"/>
          <w:sz w:val="24"/>
        </w:rPr>
      </w:pPr>
      <w:r>
        <w:rPr>
          <w:rFonts w:ascii="Times New Roman" w:hAnsi="Times New Roman"/>
          <w:sz w:val="24"/>
        </w:rPr>
        <w:t xml:space="preserve">Securities registered pursuant to Section 12(b) of the Act: </w:t>
      </w:r>
    </w:p>
    <w:p>
      <w:pPr>
        <w:pStyle w:val="TextBody"/>
        <w:bidi w:val="0"/>
        <w:spacing w:lineRule="atLeast" w:line="240" w:before="80" w:after="283"/>
        <w:jc w:val="left"/>
        <w:rPr/>
      </w:pP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tbl>
      <w:tblPr>
        <w:tblW w:w="9490" w:type="dxa"/>
        <w:jc w:val="left"/>
        <w:tblInd w:w="0" w:type="dxa"/>
        <w:tblLayout w:type="fixed"/>
        <w:tblCellMar>
          <w:top w:w="0" w:type="dxa"/>
          <w:left w:w="0" w:type="dxa"/>
          <w:bottom w:w="28" w:type="dxa"/>
          <w:right w:w="0" w:type="dxa"/>
        </w:tblCellMar>
      </w:tblPr>
      <w:tblGrid>
        <w:gridCol w:w="3256"/>
        <w:gridCol w:w="206"/>
        <w:gridCol w:w="1171"/>
        <w:gridCol w:w="206"/>
        <w:gridCol w:w="4651"/>
      </w:tblGrid>
      <w:tr>
        <w:trPr/>
        <w:tc>
          <w:tcPr>
            <w:tcW w:w="3256" w:type="dxa"/>
            <w:tcBorders>
              <w:bottom w:val="single" w:sz="8" w:space="0" w:color="000000"/>
            </w:tcBorders>
            <w:vAlign w:val="center"/>
          </w:tcPr>
          <w:p>
            <w:pPr>
              <w:pStyle w:val="TableContents"/>
              <w:bidi w:val="0"/>
              <w:spacing w:before="0" w:after="0"/>
              <w:jc w:val="center"/>
              <w:rPr/>
            </w:pPr>
            <w:r>
              <w:rPr>
                <w:b/>
              </w:rPr>
              <w:t>Title of each class</w:t>
            </w:r>
            <w:r>
              <w:rPr/>
              <w:t xml:space="preserve"> </w:t>
            </w:r>
          </w:p>
        </w:tc>
        <w:tc>
          <w:tcPr>
            <w:tcW w:w="206" w:type="dxa"/>
            <w:tcBorders/>
            <w:tcMar>
              <w:top w:w="28" w:type="dxa"/>
              <w:left w:w="28" w:type="dxa"/>
              <w:right w:w="28" w:type="dxa"/>
            </w:tcMar>
            <w:vAlign w:val="center"/>
          </w:tcPr>
          <w:p>
            <w:pPr>
              <w:pStyle w:val="TableContents"/>
              <w:bidi w:val="0"/>
              <w:spacing w:before="0" w:after="283"/>
              <w:jc w:val="left"/>
              <w:rPr/>
            </w:pPr>
            <w:r>
              <w:rPr/>
              <w:t xml:space="preserve">  </w:t>
            </w:r>
          </w:p>
        </w:tc>
        <w:tc>
          <w:tcPr>
            <w:tcW w:w="1171" w:type="dxa"/>
            <w:tcBorders>
              <w:bottom w:val="single" w:sz="8" w:space="0" w:color="000000"/>
            </w:tcBorders>
            <w:vAlign w:val="center"/>
          </w:tcPr>
          <w:p>
            <w:pPr>
              <w:pStyle w:val="TableContents"/>
              <w:bidi w:val="0"/>
              <w:spacing w:before="0" w:after="0"/>
              <w:jc w:val="center"/>
              <w:rPr/>
            </w:pPr>
            <w:r>
              <w:rPr>
                <w:b/>
              </w:rPr>
              <w:t>Trading</w:t>
            </w:r>
            <w:r>
              <w:rPr/>
              <w:t xml:space="preserve"> </w:t>
            </w:r>
          </w:p>
          <w:p>
            <w:pPr>
              <w:pStyle w:val="TableContents"/>
              <w:bidi w:val="0"/>
              <w:spacing w:before="0" w:after="0"/>
              <w:jc w:val="center"/>
              <w:rPr/>
            </w:pPr>
            <w:r>
              <w:rPr>
                <w:b/>
              </w:rPr>
              <w:t>Symbol(s)</w:t>
            </w:r>
            <w:r>
              <w:rPr/>
              <w:t xml:space="preserve"> </w:t>
            </w:r>
          </w:p>
        </w:tc>
        <w:tc>
          <w:tcPr>
            <w:tcW w:w="206" w:type="dxa"/>
            <w:tcBorders/>
            <w:tcMar>
              <w:top w:w="28" w:type="dxa"/>
              <w:left w:w="28" w:type="dxa"/>
              <w:right w:w="28" w:type="dxa"/>
            </w:tcMar>
            <w:vAlign w:val="center"/>
          </w:tcPr>
          <w:p>
            <w:pPr>
              <w:pStyle w:val="TableContents"/>
              <w:bidi w:val="0"/>
              <w:spacing w:before="0" w:after="283"/>
              <w:jc w:val="left"/>
              <w:rPr/>
            </w:pPr>
            <w:r>
              <w:rPr/>
              <w:t xml:space="preserve">  </w:t>
            </w:r>
          </w:p>
        </w:tc>
        <w:tc>
          <w:tcPr>
            <w:tcW w:w="4651" w:type="dxa"/>
            <w:tcBorders>
              <w:bottom w:val="single" w:sz="8" w:space="0" w:color="000000"/>
            </w:tcBorders>
            <w:vAlign w:val="center"/>
          </w:tcPr>
          <w:p>
            <w:pPr>
              <w:pStyle w:val="TableContents"/>
              <w:bidi w:val="0"/>
              <w:spacing w:before="0" w:after="0"/>
              <w:jc w:val="center"/>
              <w:rPr/>
            </w:pPr>
            <w:r>
              <w:rPr>
                <w:b/>
              </w:rPr>
              <w:t>Name of each exchange on which registered</w:t>
            </w:r>
            <w:r>
              <w:rPr/>
              <w:t xml:space="preserve"> </w:t>
            </w:r>
          </w:p>
        </w:tc>
      </w:tr>
      <w:tr>
        <w:trPr/>
        <w:tc>
          <w:tcPr>
            <w:tcW w:w="3256" w:type="dxa"/>
            <w:tcBorders/>
            <w:tcMar>
              <w:top w:w="28" w:type="dxa"/>
              <w:left w:w="28" w:type="dxa"/>
              <w:right w:w="28" w:type="dxa"/>
            </w:tcMar>
            <w:vAlign w:val="center"/>
          </w:tcPr>
          <w:p>
            <w:pPr>
              <w:pStyle w:val="TableContents"/>
              <w:bidi w:val="0"/>
              <w:spacing w:before="0" w:after="0"/>
              <w:jc w:val="center"/>
              <w:rPr/>
            </w:pPr>
            <w:r>
              <w:rPr>
                <w:color w:val="000000"/>
              </w:rPr>
              <w:t>Common Stock, par value $0.25</w:t>
            </w:r>
            <w:r>
              <w:rPr/>
              <w:t xml:space="preserve"> </w:t>
            </w:r>
          </w:p>
        </w:tc>
        <w:tc>
          <w:tcPr>
            <w:tcW w:w="206" w:type="dxa"/>
            <w:tcBorders/>
            <w:tcMar>
              <w:top w:w="28" w:type="dxa"/>
              <w:left w:w="28" w:type="dxa"/>
              <w:right w:w="28" w:type="dxa"/>
            </w:tcMar>
            <w:vAlign w:val="center"/>
          </w:tcPr>
          <w:p>
            <w:pPr>
              <w:pStyle w:val="TableContents"/>
              <w:bidi w:val="0"/>
              <w:spacing w:before="0" w:after="283"/>
              <w:jc w:val="left"/>
              <w:rPr/>
            </w:pPr>
            <w:r>
              <w:rPr/>
              <w:t xml:space="preserve">  </w:t>
            </w:r>
          </w:p>
        </w:tc>
        <w:tc>
          <w:tcPr>
            <w:tcW w:w="1171" w:type="dxa"/>
            <w:tcBorders/>
            <w:tcMar>
              <w:top w:w="28" w:type="dxa"/>
              <w:left w:w="28" w:type="dxa"/>
              <w:right w:w="28" w:type="dxa"/>
            </w:tcMar>
            <w:vAlign w:val="center"/>
          </w:tcPr>
          <w:p>
            <w:pPr>
              <w:pStyle w:val="TableContents"/>
              <w:bidi w:val="0"/>
              <w:spacing w:before="0" w:after="0"/>
              <w:jc w:val="center"/>
              <w:rPr/>
            </w:pPr>
            <w:r>
              <w:rPr/>
              <w:t xml:space="preserve">OBT </w:t>
            </w:r>
          </w:p>
        </w:tc>
        <w:tc>
          <w:tcPr>
            <w:tcW w:w="206" w:type="dxa"/>
            <w:tcBorders/>
            <w:tcMar>
              <w:top w:w="28" w:type="dxa"/>
              <w:left w:w="28" w:type="dxa"/>
              <w:right w:w="28" w:type="dxa"/>
            </w:tcMar>
            <w:vAlign w:val="center"/>
          </w:tcPr>
          <w:p>
            <w:pPr>
              <w:pStyle w:val="TableContents"/>
              <w:bidi w:val="0"/>
              <w:spacing w:before="0" w:after="283"/>
              <w:jc w:val="left"/>
              <w:rPr/>
            </w:pPr>
            <w:r>
              <w:rPr/>
              <w:t xml:space="preserve">  </w:t>
            </w:r>
          </w:p>
        </w:tc>
        <w:tc>
          <w:tcPr>
            <w:tcW w:w="4651" w:type="dxa"/>
            <w:tcBorders/>
            <w:tcMar>
              <w:top w:w="28" w:type="dxa"/>
              <w:left w:w="28" w:type="dxa"/>
              <w:right w:w="28" w:type="dxa"/>
            </w:tcMar>
            <w:vAlign w:val="center"/>
          </w:tcPr>
          <w:p>
            <w:pPr>
              <w:pStyle w:val="TableContents"/>
              <w:bidi w:val="0"/>
              <w:spacing w:before="0" w:after="0"/>
              <w:jc w:val="center"/>
              <w:rPr/>
            </w:pPr>
            <w:r>
              <w:rPr>
                <w:color w:val="000000"/>
              </w:rPr>
              <w:t>The Nasdaq Stock Market, LLC</w:t>
            </w:r>
            <w:r>
              <w:rPr/>
              <w:t xml:space="preserve"> </w:t>
            </w:r>
          </w:p>
        </w:tc>
      </w:tr>
    </w:tbl>
    <w:p>
      <w:pPr>
        <w:pStyle w:val="TextBody"/>
        <w:bidi w:val="0"/>
        <w:spacing w:before="0" w:after="0"/>
        <w:jc w:val="both"/>
        <w:rPr/>
      </w:pPr>
      <w:r>
        <w:rPr/>
        <w:t xml:space="preserve">  </w:t>
      </w:r>
    </w:p>
    <w:p>
      <w:pPr>
        <w:pStyle w:val="TextBody"/>
        <w:bidi w:val="0"/>
        <w:spacing w:before="0" w:after="0"/>
        <w:jc w:val="left"/>
        <w:rPr>
          <w:rFonts w:ascii="Times New Roman" w:hAnsi="Times New Roman"/>
          <w:sz w:val="24"/>
        </w:rPr>
      </w:pPr>
      <w:r>
        <w:rPr>
          <w:rFonts w:ascii="Times New Roman" w:hAnsi="Times New Roman"/>
          <w:color w:val="231F20"/>
          <w:sz w:val="24"/>
        </w:rPr>
        <w:t>Indicate by check mark whether the registrant is an emerging growth company as defined in Rule 405 of the Securities Act of 1933 (§230.405 of this chapter) or Rule 12b-2 of the Securities Exchange Act of 1934 (§240.12b-2 of this chapter).</w:t>
      </w:r>
      <w:r>
        <w:rPr>
          <w:rFonts w:ascii="Times New Roman" w:hAnsi="Times New Roman"/>
          <w:sz w:val="24"/>
        </w:rPr>
        <w:t xml:space="preserve"> </w:t>
      </w:r>
    </w:p>
    <w:p>
      <w:pPr>
        <w:pStyle w:val="TextBody"/>
        <w:bidi w:val="0"/>
        <w:spacing w:before="0" w:after="0"/>
        <w:jc w:val="right"/>
        <w:rPr>
          <w:rFonts w:ascii="Times New Roman" w:hAnsi="Times New Roman"/>
          <w:sz w:val="24"/>
        </w:rPr>
      </w:pPr>
      <w:r>
        <w:rPr>
          <w:rFonts w:ascii="Times New Roman" w:hAnsi="Times New Roman"/>
          <w:color w:val="231F20"/>
          <w:sz w:val="24"/>
        </w:rPr>
        <w:t>Emerging growth company [X]</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left"/>
        <w:rPr>
          <w:rFonts w:ascii="Times New Roman" w:hAnsi="Times New Roman"/>
          <w:sz w:val="24"/>
        </w:rPr>
      </w:pPr>
      <w:r>
        <w:rPr>
          <w:rFonts w:ascii="Times New Roman" w:hAnsi="Times New Roman"/>
          <w:color w:val="231F20"/>
          <w:sz w:val="24"/>
        </w:rPr>
        <w:t>If an emerging growth company, indicate by check mark if the registrant has elected not to use the extended transition period for complying with any new or revised financial accounting standards provided pursuant to Section 13(a) of the Exchange Act. [  ]</w:t>
      </w:r>
      <w:r>
        <w:rPr>
          <w:rFonts w:ascii="Times New Roman" w:hAnsi="Times New Roman"/>
          <w:sz w:val="24"/>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both"/>
        <w:rPr/>
      </w:pPr>
      <w:r>
        <w:rPr>
          <w:color w:val="000000"/>
        </w:rPr>
        <w:t> </w:t>
      </w:r>
      <w:r>
        <w:rPr/>
        <w:t xml:space="preserve"> </w:t>
      </w:r>
    </w:p>
    <w:p>
      <w:pPr>
        <w:pStyle w:val="TextBody"/>
        <w:bidi w:val="0"/>
        <w:spacing w:before="0" w:after="0"/>
        <w:jc w:val="left"/>
        <w:rPr/>
      </w:pPr>
      <w:r>
        <w:rPr/>
        <w:t xml:space="preserve">  </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914400" cy="175260"/>
                <wp:effectExtent l="0" t="0" r="0" b="0"/>
                <wp:wrapSquare wrapText="right"/>
                <wp:docPr id="5" name="Frame5"/>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b/>
                              </w:rPr>
                              <w:t>Item 2.</w:t>
                            </w:r>
                            <w:r>
                              <w:rPr>
                                <w:b/>
                                <w:spacing w:val="0"/>
                              </w:rPr>
                              <w:t>02</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2.</w:t>
                      </w:r>
                      <w:r>
                        <w:rPr>
                          <w:b/>
                          <w:spacing w:val="0"/>
                        </w:rPr>
                        <w:t>02</w:t>
                      </w:r>
                      <w:r>
                        <w:rPr/>
                        <w:t xml:space="preserve"> </w:t>
                      </w:r>
                    </w:p>
                  </w:txbxContent>
                </v:textbox>
                <w10:wrap type="square" side="right"/>
              </v:rect>
            </w:pict>
          </mc:Fallback>
        </mc:AlternateConten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577340"/>
                <wp:effectExtent l="0" t="0" r="0" b="0"/>
                <wp:wrapSquare wrapText="right"/>
                <wp:docPr id="6" name="Frame6"/>
                <a:graphic xmlns:a="http://schemas.openxmlformats.org/drawingml/2006/main">
                  <a:graphicData uri="http://schemas.microsoft.com/office/word/2010/wordprocessingShape">
                    <wps:wsp>
                      <wps:cNvSpPr txBox="1"/>
                      <wps:spPr>
                        <a:xfrm>
                          <a:off x="0" y="0"/>
                          <a:ext cx="457200" cy="1577340"/>
                        </a:xfrm>
                        <a:prstGeom prst="rect"/>
                        <a:solidFill>
                          <a:srgbClr val="FFFFFF"/>
                        </a:solidFill>
                      </wps:spPr>
                      <wps:txbx>
                        <w:txbxContent>
                          <w:p>
                            <w:pPr>
                              <w:pStyle w:val="TextBody"/>
                              <w:bidi w:val="0"/>
                              <w:spacing w:before="0" w:after="283"/>
                              <w:jc w:val="left"/>
                              <w:rPr/>
                            </w:pPr>
                            <w:r>
                              <w:rPr>
                                <w:b/>
                                <w:u w:val="single"/>
                              </w:rPr>
                              <w:t>Results of Operations and Financial Condition</w:t>
                            </w:r>
                            <w:r>
                              <w:rPr/>
                              <w:t xml:space="preserve"> </w:t>
                            </w:r>
                          </w:p>
                        </w:txbxContent>
                      </wps:txbx>
                      <wps:bodyPr anchor="t" lIns="0" tIns="0" rIns="0" bIns="0">
                        <a:noAutofit/>
                      </wps:bodyPr>
                    </wps:wsp>
                  </a:graphicData>
                </a:graphic>
              </wp:anchor>
            </w:drawing>
          </mc:Choice>
          <mc:Fallback>
            <w:pict>
              <v:rect style="position:absolute;rotation:-0;width:36pt;height:124.2pt;mso-wrap-distance-left:0pt;mso-wrap-distance-right:0pt;mso-wrap-distance-top:0pt;mso-wrap-distance-bottom:0pt;margin-top:0pt;mso-position-vertical:top;mso-position-vertical-relative:text;margin-left:72pt;mso-position-horizontal:left;mso-position-horizontal-relative:text">
                <v:textbox>
                  <w:txbxContent>
                    <w:p>
                      <w:pPr>
                        <w:pStyle w:val="TextBody"/>
                        <w:bidi w:val="0"/>
                        <w:spacing w:before="0" w:after="283"/>
                        <w:jc w:val="left"/>
                        <w:rPr/>
                      </w:pPr>
                      <w:r>
                        <w:rPr>
                          <w:b/>
                          <w:u w:val="single"/>
                        </w:rPr>
                        <w:t>Results of Operations and Financial Condition</w:t>
                      </w:r>
                      <w:r>
                        <w:rPr/>
                        <w:t xml:space="preserve"> </w:t>
                      </w:r>
                    </w:p>
                  </w:txbxContent>
                </v:textbox>
                <w10:wrap type="square" side="right"/>
              </v:rect>
            </w:pict>
          </mc:Fallback>
        </mc:AlternateContent>
      </w:r>
    </w:p>
    <w:p>
      <w:pPr>
        <w:pStyle w:val="TextBody"/>
        <w:bidi w:val="0"/>
        <w:spacing w:before="0" w:after="0"/>
        <w:ind w:left="0" w:right="0" w:firstLine="720"/>
        <w:jc w:val="left"/>
        <w:rPr/>
      </w:pPr>
      <w:r>
        <w:rPr/>
        <w:t> </w:t>
      </w:r>
    </w:p>
    <w:p>
      <w:pPr>
        <w:pStyle w:val="TextBody"/>
        <w:bidi w:val="0"/>
        <w:spacing w:before="0" w:after="0"/>
        <w:ind w:left="0" w:right="0" w:firstLine="720"/>
        <w:jc w:val="left"/>
        <w:rPr>
          <w:rFonts w:ascii="Times New Roman" w:hAnsi="Times New Roman"/>
          <w:sz w:val="24"/>
        </w:rPr>
      </w:pPr>
      <w:r>
        <w:rPr>
          <w:rFonts w:ascii="Times New Roman" w:hAnsi="Times New Roman"/>
          <w:sz w:val="24"/>
        </w:rPr>
        <w:t xml:space="preserve">On July 28, 2026, Orange County Bancorp, Inc. (the “Company”) issued a press release reporting its financial results at and for the three and six months ended June 30, 2026.   </w:t>
      </w:r>
    </w:p>
    <w:p>
      <w:pPr>
        <w:pStyle w:val="TextBody"/>
        <w:bidi w:val="0"/>
        <w:spacing w:before="0" w:after="0"/>
        <w:jc w:val="left"/>
        <w:rPr/>
      </w:pPr>
      <w:r>
        <w:rPr/>
        <w:t xml:space="preserve">  </w:t>
      </w:r>
    </w:p>
    <w:p>
      <w:pPr>
        <w:pStyle w:val="TextBody"/>
        <w:bidi w:val="0"/>
        <w:spacing w:before="0" w:after="0"/>
        <w:ind w:left="0" w:right="0" w:firstLine="720"/>
        <w:jc w:val="left"/>
        <w:rPr>
          <w:rFonts w:ascii="Times New Roman" w:hAnsi="Times New Roman"/>
          <w:sz w:val="24"/>
        </w:rPr>
      </w:pPr>
      <w:r>
        <w:rPr>
          <w:rFonts w:ascii="Times New Roman" w:hAnsi="Times New Roman"/>
          <w:sz w:val="24"/>
        </w:rPr>
        <w:t xml:space="preserve">A copy of the press release is attached as Exhibit 99.1 to this report and is being furnished to the Securities and Exchange Commission and shall not be deemed filed for any purpose. </w:t>
      </w:r>
    </w:p>
    <w:p>
      <w:pPr>
        <w:pStyle w:val="TextBody"/>
        <w:bidi w:val="0"/>
        <w:spacing w:before="0" w:after="0"/>
        <w:jc w:val="left"/>
        <w:rPr/>
      </w:pPr>
      <w:r>
        <w:rPr/>
        <w:t xml:space="preserve">  </w:t>
      </w:r>
    </w:p>
    <w:p>
      <w:pPr>
        <w:pStyle w:val="TextBody"/>
        <w:bidi w:val="0"/>
        <w:spacing w:before="0" w:after="0"/>
        <w:jc w:val="both"/>
        <w:rPr>
          <w:rFonts w:ascii="Times New Roman" w:hAnsi="Times New Roman"/>
          <w:sz w:val="24"/>
        </w:rPr>
      </w:pPr>
      <w:r>
        <w:rPr>
          <w:rFonts w:ascii="Times New Roman" w:hAnsi="Times New Roman"/>
          <w:b/>
          <w:sz w:val="24"/>
          <w:u w:val="single"/>
        </w:rPr>
        <w:t>Financial Statements and Exhibits</w:t>
      </w:r>
      <w:r>
        <w:rPr>
          <w:rFonts w:ascii="Times New Roman" w:hAnsi="Times New Roman"/>
          <w:sz w:val="24"/>
        </w:rPr>
        <w:t xml:space="preserve"> </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914400" cy="175260"/>
                <wp:effectExtent l="0" t="0" r="0" b="0"/>
                <wp:wrapSquare wrapText="right"/>
                <wp:docPr id="7" name="Frame7"/>
                <a:graphic xmlns:a="http://schemas.openxmlformats.org/drawingml/2006/main">
                  <a:graphicData uri="http://schemas.microsoft.com/office/word/2010/wordprocessingShape">
                    <wps:wsp>
                      <wps:cNvSpPr txBox="1"/>
                      <wps:spPr>
                        <a:xfrm>
                          <a:off x="0" y="0"/>
                          <a:ext cx="914400" cy="175260"/>
                        </a:xfrm>
                        <a:prstGeom prst="rect"/>
                        <a:solidFill>
                          <a:srgbClr val="FFFFFF"/>
                        </a:solidFill>
                      </wps:spPr>
                      <wps:txbx>
                        <w:txbxContent>
                          <w:p>
                            <w:pPr>
                              <w:pStyle w:val="TextBody"/>
                              <w:bidi w:val="0"/>
                              <w:spacing w:before="0" w:after="283"/>
                              <w:jc w:val="left"/>
                              <w:rPr/>
                            </w:pPr>
                            <w:r>
                              <w:rPr>
                                <w:b/>
                              </w:rPr>
                              <w:t>Item 9.01</w:t>
                            </w:r>
                            <w:r>
                              <w:rPr/>
                              <w:t xml:space="preserve"> </w:t>
                            </w:r>
                          </w:p>
                        </w:txbxContent>
                      </wps:txbx>
                      <wps:bodyPr anchor="t" lIns="0" tIns="0" rIns="0" bIns="0">
                        <a:noAutofit/>
                      </wps:bodyPr>
                    </wps:wsp>
                  </a:graphicData>
                </a:graphic>
              </wp:anchor>
            </w:drawing>
          </mc:Choice>
          <mc:Fallback>
            <w:pict>
              <v:rect style="position:absolute;rotation:-0;width: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pPr>
                      <w:r>
                        <w:rPr>
                          <w:b/>
                        </w:rPr>
                        <w:t>Item 9.01</w:t>
                      </w:r>
                      <w:r>
                        <w:rPr/>
                        <w:t xml:space="preserve"> </w:t>
                      </w:r>
                    </w:p>
                  </w:txbxContent>
                </v:textbox>
                <w10:wrap type="square" side="right"/>
              </v:rect>
            </w:pict>
          </mc:Fallback>
        </mc:AlternateContent>
      </w:r>
    </w:p>
    <w:p>
      <w:pPr>
        <w:pStyle w:val="TextBody"/>
        <w:bidi w:val="0"/>
        <w:spacing w:before="0" w:after="0"/>
        <w:jc w:val="left"/>
        <w:rPr/>
      </w:pPr>
      <w:r>
        <w:rPr/>
        <w:t xml:space="preserve">  </w:t>
      </w:r>
    </w:p>
    <w:tbl>
      <w:tblPr>
        <w:tblW w:w="8860" w:type="dxa"/>
        <w:jc w:val="left"/>
        <w:tblInd w:w="0" w:type="dxa"/>
        <w:tblLayout w:type="fixed"/>
        <w:tblCellMar>
          <w:top w:w="28" w:type="dxa"/>
          <w:left w:w="28" w:type="dxa"/>
          <w:bottom w:w="28" w:type="dxa"/>
          <w:right w:w="28" w:type="dxa"/>
        </w:tblCellMar>
      </w:tblPr>
      <w:tblGrid>
        <w:gridCol w:w="451"/>
        <w:gridCol w:w="206"/>
        <w:gridCol w:w="586"/>
        <w:gridCol w:w="206"/>
        <w:gridCol w:w="7411"/>
      </w:tblGrid>
      <w:tr>
        <w:trPr/>
        <w:tc>
          <w:tcPr>
            <w:tcW w:w="451"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586"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7411" w:type="dxa"/>
            <w:tcBorders/>
            <w:vAlign w:val="center"/>
          </w:tcPr>
          <w:p>
            <w:pPr>
              <w:pStyle w:val="TableContents"/>
              <w:bidi w:val="0"/>
              <w:spacing w:before="0" w:after="283"/>
              <w:jc w:val="left"/>
              <w:rPr/>
            </w:pPr>
            <w:r>
              <w:rPr/>
              <w:t> </w:t>
            </w:r>
          </w:p>
        </w:tc>
      </w:tr>
      <w:tr>
        <w:trPr/>
        <w:tc>
          <w:tcPr>
            <w:tcW w:w="451" w:type="dxa"/>
            <w:tcBorders/>
            <w:tcMar>
              <w:top w:w="0" w:type="dxa"/>
              <w:left w:w="0" w:type="dxa"/>
              <w:bottom w:w="0" w:type="dxa"/>
              <w:right w:w="0" w:type="dxa"/>
            </w:tcMar>
            <w:vAlign w:val="center"/>
          </w:tcPr>
          <w:p>
            <w:pPr>
              <w:pStyle w:val="TableContents"/>
              <w:bidi w:val="0"/>
              <w:spacing w:before="0" w:after="0"/>
              <w:jc w:val="center"/>
              <w:rPr/>
            </w:pPr>
            <w:r>
              <w:rPr/>
              <w:t xml:space="preserve">(a)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8203" w:type="dxa"/>
            <w:gridSpan w:val="3"/>
            <w:tcBorders/>
            <w:tcMar>
              <w:top w:w="0" w:type="dxa"/>
              <w:left w:w="0" w:type="dxa"/>
              <w:bottom w:w="0" w:type="dxa"/>
              <w:right w:w="0" w:type="dxa"/>
            </w:tcMar>
            <w:vAlign w:val="center"/>
          </w:tcPr>
          <w:p>
            <w:pPr>
              <w:pStyle w:val="TableContents"/>
              <w:bidi w:val="0"/>
              <w:spacing w:before="0" w:after="0"/>
              <w:jc w:val="both"/>
              <w:rPr/>
            </w:pPr>
            <w:r>
              <w:rPr/>
              <w:t xml:space="preserve">Financial statements of businesses acquired.  None. </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8203" w:type="dxa"/>
            <w:gridSpan w:val="3"/>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451" w:type="dxa"/>
            <w:tcBorders/>
            <w:tcMar>
              <w:top w:w="0" w:type="dxa"/>
              <w:left w:w="0" w:type="dxa"/>
              <w:bottom w:w="0" w:type="dxa"/>
              <w:right w:w="0" w:type="dxa"/>
            </w:tcMar>
            <w:vAlign w:val="center"/>
          </w:tcPr>
          <w:p>
            <w:pPr>
              <w:pStyle w:val="TableContents"/>
              <w:bidi w:val="0"/>
              <w:spacing w:before="0" w:after="0"/>
              <w:jc w:val="center"/>
              <w:rPr/>
            </w:pPr>
            <w:r>
              <w:rPr/>
              <w:t xml:space="preserve">(b)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8203" w:type="dxa"/>
            <w:gridSpan w:val="3"/>
            <w:tcBorders/>
            <w:tcMar>
              <w:top w:w="0" w:type="dxa"/>
              <w:left w:w="0" w:type="dxa"/>
              <w:bottom w:w="0" w:type="dxa"/>
              <w:right w:w="0" w:type="dxa"/>
            </w:tcMar>
            <w:vAlign w:val="center"/>
          </w:tcPr>
          <w:p>
            <w:pPr>
              <w:pStyle w:val="TableContents"/>
              <w:bidi w:val="0"/>
              <w:spacing w:before="0" w:after="0"/>
              <w:jc w:val="both"/>
              <w:rPr/>
            </w:pPr>
            <w:r>
              <w:rPr/>
              <w:t xml:space="preserve">Pro forma financial information.  None. </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8203" w:type="dxa"/>
            <w:gridSpan w:val="3"/>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451" w:type="dxa"/>
            <w:tcBorders/>
            <w:tcMar>
              <w:top w:w="0" w:type="dxa"/>
              <w:left w:w="0" w:type="dxa"/>
              <w:bottom w:w="0" w:type="dxa"/>
              <w:right w:w="0" w:type="dxa"/>
            </w:tcMar>
            <w:vAlign w:val="center"/>
          </w:tcPr>
          <w:p>
            <w:pPr>
              <w:pStyle w:val="TableContents"/>
              <w:bidi w:val="0"/>
              <w:spacing w:before="0" w:after="0"/>
              <w:jc w:val="center"/>
              <w:rPr/>
            </w:pPr>
            <w:r>
              <w:rPr/>
              <w:t xml:space="preserve">(c)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8203" w:type="dxa"/>
            <w:gridSpan w:val="3"/>
            <w:tcBorders/>
            <w:tcMar>
              <w:top w:w="0" w:type="dxa"/>
              <w:left w:w="0" w:type="dxa"/>
              <w:bottom w:w="0" w:type="dxa"/>
              <w:right w:w="0" w:type="dxa"/>
            </w:tcMar>
            <w:vAlign w:val="center"/>
          </w:tcPr>
          <w:p>
            <w:pPr>
              <w:pStyle w:val="TableContents"/>
              <w:bidi w:val="0"/>
              <w:spacing w:before="0" w:after="0"/>
              <w:jc w:val="both"/>
              <w:rPr/>
            </w:pPr>
            <w:r>
              <w:rPr/>
              <w:t xml:space="preserve">Shell company transactions: None. </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8203" w:type="dxa"/>
            <w:gridSpan w:val="3"/>
            <w:tcBorders/>
            <w:tcMar>
              <w:top w:w="0" w:type="dxa"/>
              <w:left w:w="0" w:type="dxa"/>
              <w:bottom w:w="0" w:type="dxa"/>
              <w:right w:w="0" w:type="dxa"/>
            </w:tcMar>
            <w:vAlign w:val="center"/>
          </w:tcPr>
          <w:p>
            <w:pPr>
              <w:pStyle w:val="TableContents"/>
              <w:bidi w:val="0"/>
              <w:spacing w:before="0" w:after="283"/>
              <w:jc w:val="left"/>
              <w:rPr/>
            </w:pPr>
            <w:r>
              <w:rPr/>
              <w:t xml:space="preserve">  </w:t>
            </w:r>
          </w:p>
        </w:tc>
      </w:tr>
      <w:tr>
        <w:trPr/>
        <w:tc>
          <w:tcPr>
            <w:tcW w:w="451" w:type="dxa"/>
            <w:tcBorders/>
            <w:tcMar>
              <w:top w:w="0" w:type="dxa"/>
              <w:left w:w="0" w:type="dxa"/>
              <w:bottom w:w="0" w:type="dxa"/>
              <w:right w:w="0" w:type="dxa"/>
            </w:tcMar>
            <w:vAlign w:val="center"/>
          </w:tcPr>
          <w:p>
            <w:pPr>
              <w:pStyle w:val="TableContents"/>
              <w:bidi w:val="0"/>
              <w:spacing w:before="0" w:after="0"/>
              <w:jc w:val="center"/>
              <w:rPr/>
            </w:pPr>
            <w:r>
              <w:rPr/>
              <w:t xml:space="preserve">(d)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8203" w:type="dxa"/>
            <w:gridSpan w:val="3"/>
            <w:tcBorders/>
            <w:tcMar>
              <w:top w:w="0" w:type="dxa"/>
              <w:left w:w="0" w:type="dxa"/>
              <w:bottom w:w="0" w:type="dxa"/>
              <w:right w:w="0" w:type="dxa"/>
            </w:tcMar>
            <w:vAlign w:val="center"/>
          </w:tcPr>
          <w:p>
            <w:pPr>
              <w:pStyle w:val="TableContents"/>
              <w:bidi w:val="0"/>
              <w:spacing w:before="0" w:after="0"/>
              <w:jc w:val="both"/>
              <w:rPr/>
            </w:pPr>
            <w:r>
              <w:rPr/>
              <w:t xml:space="preserve">Exhibits.   </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86" w:type="dxa"/>
            <w:tcBorders/>
            <w:tcMar>
              <w:top w:w="0" w:type="dxa"/>
              <w:left w:w="0" w:type="dxa"/>
              <w:bottom w:w="0" w:type="dxa"/>
              <w:right w:w="0" w:type="dxa"/>
            </w:tcMar>
            <w:vAlign w:val="center"/>
          </w:tcPr>
          <w:p>
            <w:pPr>
              <w:pStyle w:val="TableContents"/>
              <w:bidi w:val="0"/>
              <w:spacing w:before="0" w:after="0"/>
              <w:jc w:val="both"/>
              <w:rPr/>
            </w:pPr>
            <w:hyperlink w:anchor="ex99-1_8k072826.htm">
              <w:r>
                <w:rPr>
                  <w:rStyle w:val="InternetLink"/>
                </w:rPr>
                <w:t>99.1</w:t>
              </w:r>
            </w:hyperlink>
            <w:r>
              <w:rPr/>
              <w:t xml:space="preserve">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7411" w:type="dxa"/>
            <w:tcBorders/>
            <w:tcMar>
              <w:top w:w="0" w:type="dxa"/>
              <w:left w:w="0" w:type="dxa"/>
              <w:bottom w:w="0" w:type="dxa"/>
              <w:right w:w="0" w:type="dxa"/>
            </w:tcMar>
            <w:vAlign w:val="center"/>
          </w:tcPr>
          <w:p>
            <w:pPr>
              <w:pStyle w:val="TableContents"/>
              <w:bidi w:val="0"/>
              <w:spacing w:before="0" w:after="0"/>
              <w:jc w:val="both"/>
              <w:rPr/>
            </w:pPr>
            <w:r>
              <w:rPr/>
              <w:t xml:space="preserve">Press release dated July 28, 2026 </w:t>
            </w:r>
          </w:p>
        </w:tc>
      </w:tr>
      <w:tr>
        <w:trPr/>
        <w:tc>
          <w:tcPr>
            <w:tcW w:w="451"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586" w:type="dxa"/>
            <w:tcBorders/>
            <w:tcMar>
              <w:top w:w="0" w:type="dxa"/>
              <w:left w:w="0" w:type="dxa"/>
              <w:bottom w:w="0" w:type="dxa"/>
              <w:right w:w="0" w:type="dxa"/>
            </w:tcMar>
            <w:vAlign w:val="center"/>
          </w:tcPr>
          <w:p>
            <w:pPr>
              <w:pStyle w:val="TableContents"/>
              <w:bidi w:val="0"/>
              <w:spacing w:before="0" w:after="0"/>
              <w:jc w:val="both"/>
              <w:rPr/>
            </w:pPr>
            <w:r>
              <w:rPr/>
              <w:t xml:space="preserve">104 </w:t>
            </w:r>
          </w:p>
        </w:tc>
        <w:tc>
          <w:tcPr>
            <w:tcW w:w="206" w:type="dxa"/>
            <w:tcBorders/>
            <w:tcMar>
              <w:top w:w="0" w:type="dxa"/>
              <w:left w:w="0" w:type="dxa"/>
              <w:bottom w:w="0" w:type="dxa"/>
              <w:right w:w="0" w:type="dxa"/>
            </w:tcMar>
            <w:vAlign w:val="center"/>
          </w:tcPr>
          <w:p>
            <w:pPr>
              <w:pStyle w:val="TableContents"/>
              <w:bidi w:val="0"/>
              <w:spacing w:before="0" w:after="283"/>
              <w:jc w:val="left"/>
              <w:rPr/>
            </w:pPr>
            <w:r>
              <w:rPr/>
              <w:t xml:space="preserve">  </w:t>
            </w:r>
          </w:p>
        </w:tc>
        <w:tc>
          <w:tcPr>
            <w:tcW w:w="7411" w:type="dxa"/>
            <w:tcBorders/>
            <w:tcMar>
              <w:top w:w="0" w:type="dxa"/>
              <w:left w:w="0" w:type="dxa"/>
              <w:bottom w:w="0" w:type="dxa"/>
              <w:right w:w="0" w:type="dxa"/>
            </w:tcMar>
            <w:vAlign w:val="center"/>
          </w:tcPr>
          <w:p>
            <w:pPr>
              <w:pStyle w:val="TableContents"/>
              <w:bidi w:val="0"/>
              <w:spacing w:before="0" w:after="0"/>
              <w:jc w:val="both"/>
              <w:rPr/>
            </w:pPr>
            <w:r>
              <w:rPr/>
              <w:t xml:space="preserve">Cover Page for this Current Report on Form 8-K, formatted in Inline XBRL </w:t>
            </w:r>
          </w:p>
        </w:tc>
      </w:tr>
    </w:tbl>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rFonts w:ascii="Times New Roman" w:hAnsi="Times New Roman"/>
          <w:sz w:val="24"/>
        </w:rPr>
      </w:pPr>
      <w:r>
        <w:rPr>
          <w:rFonts w:ascii="Times New Roman" w:hAnsi="Times New Roman"/>
          <w:b/>
          <w:sz w:val="24"/>
        </w:rPr>
        <w:t>SIGNATURES</w:t>
      </w:r>
      <w:r>
        <w:rPr>
          <w:rFonts w:ascii="Times New Roman" w:hAnsi="Times New Roman"/>
          <w:sz w:val="24"/>
        </w:rPr>
        <w:t xml:space="preserve"> </w:t>
      </w:r>
    </w:p>
    <w:p>
      <w:pPr>
        <w:pStyle w:val="TextBody"/>
        <w:bidi w:val="0"/>
        <w:spacing w:before="0" w:after="0"/>
        <w:jc w:val="both"/>
        <w:rPr/>
      </w:pPr>
      <w:r>
        <w:rPr/>
        <w:t xml:space="preserve">  </w:t>
      </w:r>
    </w:p>
    <w:p>
      <w:pPr>
        <w:pStyle w:val="TextBody"/>
        <w:bidi w:val="0"/>
        <w:spacing w:before="0" w:after="0"/>
        <w:ind w:left="0" w:right="0" w:firstLine="720"/>
        <w:jc w:val="both"/>
        <w:rPr>
          <w:rFonts w:ascii="Times New Roman" w:hAnsi="Times New Roman"/>
          <w:sz w:val="24"/>
        </w:rPr>
      </w:pPr>
      <w:r>
        <w:rPr>
          <w:rFonts w:ascii="Times New Roman" w:hAnsi="Times New Roman"/>
          <w:sz w:val="24"/>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p>
      <w:pPr>
        <w:pStyle w:val="TextBody"/>
        <w:bidi w:val="0"/>
        <w:spacing w:before="0" w:after="0"/>
        <w:jc w:val="both"/>
        <w:rPr/>
      </w:pPr>
      <w:r>
        <w:rPr/>
        <w:t xml:space="preserve">  </w:t>
      </w:r>
    </w:p>
    <w:tbl>
      <w:tblPr>
        <w:tblW w:w="8133" w:type="dxa"/>
        <w:jc w:val="left"/>
        <w:tblInd w:w="0" w:type="dxa"/>
        <w:tblLayout w:type="fixed"/>
        <w:tblCellMar>
          <w:top w:w="0" w:type="dxa"/>
          <w:left w:w="0" w:type="dxa"/>
          <w:bottom w:w="0" w:type="dxa"/>
          <w:right w:w="0" w:type="dxa"/>
        </w:tblCellMar>
      </w:tblPr>
      <w:tblGrid>
        <w:gridCol w:w="2251"/>
        <w:gridCol w:w="631"/>
        <w:gridCol w:w="5251"/>
      </w:tblGrid>
      <w:tr>
        <w:trPr/>
        <w:tc>
          <w:tcPr>
            <w:tcW w:w="2251" w:type="dxa"/>
            <w:tcBorders/>
            <w:vAlign w:val="center"/>
          </w:tcPr>
          <w:p>
            <w:pPr>
              <w:pStyle w:val="TableContents"/>
              <w:bidi w:val="0"/>
              <w:spacing w:before="0" w:after="283"/>
              <w:jc w:val="left"/>
              <w:rPr/>
            </w:pPr>
            <w:r>
              <w:rPr/>
              <w:t xml:space="preserve">  </w:t>
            </w:r>
          </w:p>
        </w:tc>
        <w:tc>
          <w:tcPr>
            <w:tcW w:w="631" w:type="dxa"/>
            <w:tcBorders/>
            <w:vAlign w:val="center"/>
          </w:tcPr>
          <w:p>
            <w:pPr>
              <w:pStyle w:val="TableContents"/>
              <w:bidi w:val="0"/>
              <w:spacing w:before="0" w:after="283"/>
              <w:jc w:val="left"/>
              <w:rPr/>
            </w:pPr>
            <w:r>
              <w:rPr/>
              <w:t xml:space="preserve">  </w:t>
            </w:r>
          </w:p>
        </w:tc>
        <w:tc>
          <w:tcPr>
            <w:tcW w:w="5251" w:type="dxa"/>
            <w:tcBorders/>
            <w:vAlign w:val="center"/>
          </w:tcPr>
          <w:p>
            <w:pPr>
              <w:pStyle w:val="TableContents"/>
              <w:bidi w:val="0"/>
              <w:spacing w:before="0" w:after="0"/>
              <w:jc w:val="both"/>
              <w:rPr/>
            </w:pPr>
            <w:r>
              <w:rPr>
                <w:b/>
              </w:rPr>
              <w:t>ORANGE COUNTY BANCORP, INC.</w:t>
            </w:r>
            <w:r>
              <w:rPr/>
              <w:t xml:space="preserve"> </w:t>
            </w:r>
          </w:p>
        </w:tc>
      </w:tr>
      <w:tr>
        <w:trPr/>
        <w:tc>
          <w:tcPr>
            <w:tcW w:w="2251" w:type="dxa"/>
            <w:tcBorders/>
            <w:vAlign w:val="center"/>
          </w:tcPr>
          <w:p>
            <w:pPr>
              <w:pStyle w:val="TableContents"/>
              <w:bidi w:val="0"/>
              <w:spacing w:before="0" w:after="283"/>
              <w:jc w:val="left"/>
              <w:rPr/>
            </w:pPr>
            <w:r>
              <w:rPr/>
              <w:t xml:space="preserve">  </w:t>
            </w:r>
          </w:p>
        </w:tc>
        <w:tc>
          <w:tcPr>
            <w:tcW w:w="631" w:type="dxa"/>
            <w:tcBorders/>
            <w:vAlign w:val="center"/>
          </w:tcPr>
          <w:p>
            <w:pPr>
              <w:pStyle w:val="TableContents"/>
              <w:bidi w:val="0"/>
              <w:spacing w:before="0" w:after="283"/>
              <w:jc w:val="left"/>
              <w:rPr/>
            </w:pPr>
            <w:r>
              <w:rPr/>
              <w:t xml:space="preserve">  </w:t>
            </w:r>
          </w:p>
        </w:tc>
        <w:tc>
          <w:tcPr>
            <w:tcW w:w="5251" w:type="dxa"/>
            <w:tcBorders/>
            <w:vAlign w:val="center"/>
          </w:tcPr>
          <w:p>
            <w:pPr>
              <w:pStyle w:val="TableContents"/>
              <w:bidi w:val="0"/>
              <w:spacing w:before="0" w:after="283"/>
              <w:jc w:val="left"/>
              <w:rPr/>
            </w:pPr>
            <w:r>
              <w:rPr/>
              <w:t xml:space="preserve">  </w:t>
            </w:r>
          </w:p>
        </w:tc>
      </w:tr>
      <w:tr>
        <w:trPr/>
        <w:tc>
          <w:tcPr>
            <w:tcW w:w="2251" w:type="dxa"/>
            <w:tcBorders/>
            <w:vAlign w:val="center"/>
          </w:tcPr>
          <w:p>
            <w:pPr>
              <w:pStyle w:val="TableContents"/>
              <w:bidi w:val="0"/>
              <w:spacing w:before="0" w:after="283"/>
              <w:jc w:val="left"/>
              <w:rPr/>
            </w:pPr>
            <w:r>
              <w:rPr/>
              <w:t xml:space="preserve">  </w:t>
            </w:r>
          </w:p>
        </w:tc>
        <w:tc>
          <w:tcPr>
            <w:tcW w:w="631" w:type="dxa"/>
            <w:tcBorders/>
            <w:vAlign w:val="center"/>
          </w:tcPr>
          <w:p>
            <w:pPr>
              <w:pStyle w:val="TableContents"/>
              <w:bidi w:val="0"/>
              <w:spacing w:before="0" w:after="283"/>
              <w:jc w:val="left"/>
              <w:rPr/>
            </w:pPr>
            <w:r>
              <w:rPr/>
              <w:t xml:space="preserve">  </w:t>
            </w:r>
          </w:p>
        </w:tc>
        <w:tc>
          <w:tcPr>
            <w:tcW w:w="5251" w:type="dxa"/>
            <w:tcBorders/>
            <w:vAlign w:val="center"/>
          </w:tcPr>
          <w:p>
            <w:pPr>
              <w:pStyle w:val="TableContents"/>
              <w:bidi w:val="0"/>
              <w:spacing w:before="0" w:after="283"/>
              <w:jc w:val="left"/>
              <w:rPr/>
            </w:pPr>
            <w:r>
              <w:rPr/>
              <w:t xml:space="preserve">  </w:t>
            </w:r>
          </w:p>
        </w:tc>
      </w:tr>
      <w:tr>
        <w:trPr/>
        <w:tc>
          <w:tcPr>
            <w:tcW w:w="2251" w:type="dxa"/>
            <w:tcBorders/>
            <w:vAlign w:val="center"/>
          </w:tcPr>
          <w:p>
            <w:pPr>
              <w:pStyle w:val="TableContents"/>
              <w:bidi w:val="0"/>
              <w:spacing w:before="0" w:after="283"/>
              <w:jc w:val="left"/>
              <w:rPr/>
            </w:pPr>
            <w:r>
              <w:rPr/>
              <w:t xml:space="preserve">  </w:t>
            </w:r>
          </w:p>
        </w:tc>
        <w:tc>
          <w:tcPr>
            <w:tcW w:w="631" w:type="dxa"/>
            <w:tcBorders/>
            <w:vAlign w:val="center"/>
          </w:tcPr>
          <w:p>
            <w:pPr>
              <w:pStyle w:val="TableContents"/>
              <w:bidi w:val="0"/>
              <w:spacing w:before="0" w:after="283"/>
              <w:jc w:val="left"/>
              <w:rPr/>
            </w:pPr>
            <w:r>
              <w:rPr/>
              <w:t xml:space="preserve">  </w:t>
            </w:r>
          </w:p>
        </w:tc>
        <w:tc>
          <w:tcPr>
            <w:tcW w:w="5251" w:type="dxa"/>
            <w:tcBorders/>
            <w:vAlign w:val="center"/>
          </w:tcPr>
          <w:p>
            <w:pPr>
              <w:pStyle w:val="TableContents"/>
              <w:bidi w:val="0"/>
              <w:spacing w:before="0" w:after="283"/>
              <w:jc w:val="left"/>
              <w:rPr/>
            </w:pPr>
            <w:r>
              <w:rPr/>
              <w:t xml:space="preserve">  </w:t>
            </w:r>
          </w:p>
        </w:tc>
      </w:tr>
      <w:tr>
        <w:trPr/>
        <w:tc>
          <w:tcPr>
            <w:tcW w:w="2251" w:type="dxa"/>
            <w:tcBorders/>
            <w:vAlign w:val="center"/>
          </w:tcPr>
          <w:p>
            <w:pPr>
              <w:pStyle w:val="TableContents"/>
              <w:bidi w:val="0"/>
              <w:spacing w:before="0" w:after="0"/>
              <w:jc w:val="both"/>
              <w:rPr/>
            </w:pPr>
            <w:r>
              <w:rPr/>
              <w:t xml:space="preserve">DATE: July 28, 2026 </w:t>
            </w:r>
          </w:p>
        </w:tc>
        <w:tc>
          <w:tcPr>
            <w:tcW w:w="631" w:type="dxa"/>
            <w:tcBorders/>
            <w:vAlign w:val="center"/>
          </w:tcPr>
          <w:p>
            <w:pPr>
              <w:pStyle w:val="TableContents"/>
              <w:bidi w:val="0"/>
              <w:spacing w:before="0" w:after="0"/>
              <w:jc w:val="right"/>
              <w:rPr/>
            </w:pPr>
            <w:r>
              <w:rPr/>
              <w:t>By:   </w:t>
            </w:r>
          </w:p>
        </w:tc>
        <w:tc>
          <w:tcPr>
            <w:tcW w:w="5251" w:type="dxa"/>
            <w:tcBorders/>
            <w:vAlign w:val="center"/>
          </w:tcPr>
          <w:p>
            <w:pPr>
              <w:pStyle w:val="TableContents"/>
              <w:bidi w:val="0"/>
              <w:spacing w:before="0" w:after="0"/>
              <w:jc w:val="both"/>
              <w:rPr>
                <w:u w:val="single"/>
              </w:rPr>
            </w:pPr>
            <w:r>
              <w:rPr>
                <w:u w:val="single"/>
              </w:rPr>
              <w:t> </w:t>
            </w:r>
            <w:r>
              <w:rPr>
                <w:u w:val="single"/>
              </w:rPr>
              <w:t xml:space="preserve">/s/ Michael Lesler </w:t>
            </w:r>
          </w:p>
        </w:tc>
      </w:tr>
      <w:tr>
        <w:trPr/>
        <w:tc>
          <w:tcPr>
            <w:tcW w:w="2251" w:type="dxa"/>
            <w:tcBorders/>
            <w:vAlign w:val="center"/>
          </w:tcPr>
          <w:p>
            <w:pPr>
              <w:pStyle w:val="TableContents"/>
              <w:bidi w:val="0"/>
              <w:spacing w:before="0" w:after="283"/>
              <w:jc w:val="left"/>
              <w:rPr/>
            </w:pPr>
            <w:r>
              <w:rPr/>
              <w:t xml:space="preserve">  </w:t>
            </w:r>
          </w:p>
        </w:tc>
        <w:tc>
          <w:tcPr>
            <w:tcW w:w="631" w:type="dxa"/>
            <w:tcBorders/>
            <w:vAlign w:val="center"/>
          </w:tcPr>
          <w:p>
            <w:pPr>
              <w:pStyle w:val="TableContents"/>
              <w:bidi w:val="0"/>
              <w:spacing w:before="0" w:after="283"/>
              <w:jc w:val="left"/>
              <w:rPr/>
            </w:pPr>
            <w:r>
              <w:rPr/>
              <w:t xml:space="preserve">  </w:t>
            </w:r>
          </w:p>
        </w:tc>
        <w:tc>
          <w:tcPr>
            <w:tcW w:w="5251" w:type="dxa"/>
            <w:tcBorders/>
            <w:vAlign w:val="center"/>
          </w:tcPr>
          <w:p>
            <w:pPr>
              <w:pStyle w:val="TableContents"/>
              <w:bidi w:val="0"/>
              <w:spacing w:before="0" w:after="0"/>
              <w:jc w:val="both"/>
              <w:rPr/>
            </w:pPr>
            <w:r>
              <w:rPr/>
              <w:t xml:space="preserve">Michael Lesler </w:t>
            </w:r>
          </w:p>
        </w:tc>
      </w:tr>
      <w:tr>
        <w:trPr/>
        <w:tc>
          <w:tcPr>
            <w:tcW w:w="2251" w:type="dxa"/>
            <w:tcBorders/>
            <w:vAlign w:val="center"/>
          </w:tcPr>
          <w:p>
            <w:pPr>
              <w:pStyle w:val="TableContents"/>
              <w:bidi w:val="0"/>
              <w:spacing w:before="0" w:after="283"/>
              <w:jc w:val="left"/>
              <w:rPr/>
            </w:pPr>
            <w:r>
              <w:rPr/>
              <w:t xml:space="preserve">  </w:t>
            </w:r>
          </w:p>
        </w:tc>
        <w:tc>
          <w:tcPr>
            <w:tcW w:w="631" w:type="dxa"/>
            <w:tcBorders/>
            <w:vAlign w:val="center"/>
          </w:tcPr>
          <w:p>
            <w:pPr>
              <w:pStyle w:val="TableContents"/>
              <w:bidi w:val="0"/>
              <w:spacing w:before="0" w:after="283"/>
              <w:jc w:val="left"/>
              <w:rPr/>
            </w:pPr>
            <w:r>
              <w:rPr/>
              <w:t xml:space="preserve">  </w:t>
            </w:r>
          </w:p>
        </w:tc>
        <w:tc>
          <w:tcPr>
            <w:tcW w:w="5251" w:type="dxa"/>
            <w:tcBorders/>
            <w:vAlign w:val="center"/>
          </w:tcPr>
          <w:p>
            <w:pPr>
              <w:pStyle w:val="TableContents"/>
              <w:bidi w:val="0"/>
              <w:spacing w:before="0" w:after="0"/>
              <w:jc w:val="left"/>
              <w:rPr/>
            </w:pPr>
            <w:r>
              <w:rPr/>
              <w:t xml:space="preserve">Executive Vice President and Chief Financial Officer </w:t>
            </w:r>
          </w:p>
        </w:tc>
      </w:tr>
      <w:tr>
        <w:trPr/>
        <w:tc>
          <w:tcPr>
            <w:tcW w:w="2251" w:type="dxa"/>
            <w:tcBorders/>
            <w:vAlign w:val="center"/>
          </w:tcPr>
          <w:p>
            <w:pPr>
              <w:pStyle w:val="TableContents"/>
              <w:bidi w:val="0"/>
              <w:spacing w:before="0" w:after="283"/>
              <w:jc w:val="left"/>
              <w:rPr/>
            </w:pPr>
            <w:r>
              <w:rPr/>
              <w:t xml:space="preserve">  </w:t>
            </w:r>
          </w:p>
        </w:tc>
        <w:tc>
          <w:tcPr>
            <w:tcW w:w="631" w:type="dxa"/>
            <w:tcBorders/>
            <w:vAlign w:val="center"/>
          </w:tcPr>
          <w:p>
            <w:pPr>
              <w:pStyle w:val="TableContents"/>
              <w:bidi w:val="0"/>
              <w:spacing w:before="0" w:after="283"/>
              <w:jc w:val="left"/>
              <w:rPr/>
            </w:pPr>
            <w:r>
              <w:rPr/>
              <w:t xml:space="preserve">  </w:t>
            </w:r>
          </w:p>
        </w:tc>
        <w:tc>
          <w:tcPr>
            <w:tcW w:w="5251" w:type="dxa"/>
            <w:tcBorders/>
            <w:vAlign w:val="center"/>
          </w:tcPr>
          <w:p>
            <w:pPr>
              <w:pStyle w:val="TableContents"/>
              <w:bidi w:val="0"/>
              <w:spacing w:before="0" w:after="283"/>
              <w:jc w:val="left"/>
              <w:rPr/>
            </w:pPr>
            <w:r>
              <w:rPr/>
              <w:t xml:space="preserve">  </w:t>
            </w:r>
          </w:p>
        </w:tc>
      </w:tr>
    </w:tbl>
    <w:p>
      <w:pPr>
        <w:pStyle w:val="TextBody"/>
        <w:bidi w:val="0"/>
        <w:spacing w:before="0" w:after="0"/>
        <w:jc w:val="both"/>
        <w:rPr/>
      </w:pPr>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100" w:after="100"/>
        <w:jc w:val="left"/>
        <w:rPr/>
      </w:pPr>
      <w:bookmarkStart w:id="2" w:name="ex99-1_8k072826.htm"/>
      <w:bookmarkStart w:id="3" w:name="ksex991_8k072826"/>
      <w:bookmarkEnd w:id="2"/>
      <w:bookmarkEnd w:id="3"/>
      <w:r>
        <w:rPr/>
        <w:drawing>
          <wp:inline distT="0" distB="0" distL="0" distR="0">
            <wp:extent cx="1471930" cy="347345"/>
            <wp:effectExtent l="0" t="0" r="0" b="0"/>
            <wp:docPr id="8"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1" descr=""/>
                    <pic:cNvPicPr>
                      <a:picLocks noChangeAspect="1" noChangeArrowheads="1"/>
                    </pic:cNvPicPr>
                  </pic:nvPicPr>
                  <pic:blipFill>
                    <a:blip r:embed="rId2"/>
                    <a:stretch>
                      <a:fillRect/>
                    </a:stretch>
                  </pic:blipFill>
                  <pic:spPr bwMode="auto">
                    <a:xfrm>
                      <a:off x="0" y="0"/>
                      <a:ext cx="1471930" cy="347345"/>
                    </a:xfrm>
                    <a:prstGeom prst="rect">
                      <a:avLst/>
                    </a:prstGeom>
                  </pic:spPr>
                </pic:pic>
              </a:graphicData>
            </a:graphic>
          </wp:inline>
        </w:drawing>
      </w:r>
      <w:r>
        <w:rPr/>
        <w:t xml:space="preserve"> </w:t>
      </w:r>
      <w:r>
        <w:br w:type="page"/>
      </w:r>
    </w:p>
    <w:p>
      <w:pPr>
        <w:pStyle w:val="TextBody"/>
        <w:bidi w:val="0"/>
        <w:spacing w:before="0" w:after="0"/>
        <w:jc w:val="left"/>
        <w:rPr/>
      </w:pPr>
      <w:r>
        <w:rPr/>
        <w:t xml:space="preserve">  </w:t>
      </w:r>
    </w:p>
    <w:p>
      <w:pPr>
        <w:pStyle w:val="TextBody"/>
        <w:bidi w:val="0"/>
        <w:spacing w:before="0" w:after="0"/>
        <w:jc w:val="left"/>
        <w:rPr/>
      </w:pPr>
      <w:r>
        <w:rPr>
          <w:rFonts w:ascii="Times New Roman" w:hAnsi="Times New Roman"/>
        </w:rPr>
        <w:t>FOR IMMEDIATE RELEASE</w:t>
      </w:r>
      <w:r>
        <w:rPr/>
        <w:t xml:space="preserve"> </w:t>
      </w:r>
    </w:p>
    <w:p>
      <w:pPr>
        <w:pStyle w:val="TextBody"/>
        <w:bidi w:val="0"/>
        <w:spacing w:before="0" w:after="160"/>
        <w:jc w:val="left"/>
        <w:rPr/>
      </w:pPr>
      <w:r>
        <w:rPr/>
        <w:t xml:space="preserve">  </w:t>
      </w:r>
    </w:p>
    <w:p>
      <w:pPr>
        <w:pStyle w:val="TextBody"/>
        <w:bidi w:val="0"/>
        <w:spacing w:before="0" w:after="150"/>
        <w:jc w:val="left"/>
        <w:rPr>
          <w:rFonts w:ascii="Times New Roman" w:hAnsi="Times New Roman"/>
          <w:b/>
          <w:sz w:val="28"/>
        </w:rPr>
      </w:pPr>
      <w:r>
        <w:rPr>
          <w:rFonts w:ascii="Times New Roman" w:hAnsi="Times New Roman"/>
          <w:b/>
          <w:sz w:val="28"/>
        </w:rPr>
        <w:t xml:space="preserve">Orange County Bancorp, Inc. Announces Record Second Quarter Earnings: </w:t>
      </w:r>
    </w:p>
    <w:p>
      <w:pPr>
        <w:pStyle w:val="TextBody"/>
        <w:numPr>
          <w:ilvl w:val="0"/>
          <w:numId w:val="2"/>
        </w:numPr>
        <w:tabs>
          <w:tab w:val="clear" w:pos="1134"/>
          <w:tab w:val="left" w:pos="1429" w:leader="none"/>
        </w:tabs>
        <w:bidi w:val="0"/>
        <w:spacing w:before="0" w:after="0"/>
        <w:ind w:left="1429" w:right="0" w:hanging="283"/>
        <w:jc w:val="both"/>
        <w:rPr>
          <w:sz w:val="18"/>
        </w:rPr>
      </w:pPr>
      <w:r>
        <w:rPr>
          <w:rFonts w:ascii="Times New Roman" w:hAnsi="Times New Roman"/>
          <w:sz w:val="18"/>
        </w:rPr>
        <w:t>Net Income increased $3.2 million, or 30.6%, to $13.7 million for the quarter ended June 30, 2026, from $10.5 million for the quarter ended June 30, 2025, marking record second quarter earnings</w:t>
      </w:r>
      <w:r>
        <w:rPr>
          <w:sz w:val="18"/>
        </w:rPr>
        <w:t xml:space="preserve"> </w:t>
      </w:r>
    </w:p>
    <w:p>
      <w:pPr>
        <w:pStyle w:val="TextBody"/>
        <w:numPr>
          <w:ilvl w:val="0"/>
          <w:numId w:val="2"/>
        </w:numPr>
        <w:tabs>
          <w:tab w:val="clear" w:pos="1134"/>
          <w:tab w:val="left" w:pos="1429" w:leader="none"/>
        </w:tabs>
        <w:bidi w:val="0"/>
        <w:spacing w:before="0" w:after="0"/>
        <w:ind w:left="1429" w:right="0" w:hanging="283"/>
        <w:jc w:val="both"/>
        <w:rPr>
          <w:sz w:val="18"/>
        </w:rPr>
      </w:pPr>
      <w:r>
        <w:rPr>
          <w:rFonts w:ascii="Times New Roman" w:hAnsi="Times New Roman"/>
          <w:sz w:val="18"/>
        </w:rPr>
        <w:t xml:space="preserve">Net </w:t>
      </w:r>
      <w:r>
        <w:rPr>
          <w:rFonts w:ascii="Times New Roman" w:hAnsi="Times New Roman"/>
          <w:color w:val="000000"/>
          <w:sz w:val="18"/>
        </w:rPr>
        <w:t>Interest Margin increased 38 basis points, or 9.4%, to 4.44% for the three months ended June 30, 2026, from 4.06% for the three months ended June 30, 2025</w:t>
      </w:r>
      <w:r>
        <w:rPr>
          <w:sz w:val="18"/>
        </w:rPr>
        <w:t xml:space="preserve"> </w:t>
      </w:r>
    </w:p>
    <w:p>
      <w:pPr>
        <w:pStyle w:val="TextBody"/>
        <w:numPr>
          <w:ilvl w:val="0"/>
          <w:numId w:val="2"/>
        </w:numPr>
        <w:tabs>
          <w:tab w:val="clear" w:pos="1134"/>
          <w:tab w:val="left" w:pos="1429" w:leader="none"/>
        </w:tabs>
        <w:bidi w:val="0"/>
        <w:spacing w:before="0" w:after="0"/>
        <w:ind w:left="1429" w:right="0" w:hanging="283"/>
        <w:jc w:val="both"/>
        <w:rPr>
          <w:sz w:val="18"/>
        </w:rPr>
      </w:pPr>
      <w:r>
        <w:rPr>
          <w:rFonts w:ascii="Times New Roman" w:hAnsi="Times New Roman"/>
          <w:color w:val="000000"/>
          <w:sz w:val="18"/>
        </w:rPr>
        <w:t>Total Deposits increased $120.8 million, or 5.2%, to $2.4 billion at June 30, 2026, from $2.3 billion at June 30, 2025</w:t>
      </w:r>
      <w:r>
        <w:rPr>
          <w:sz w:val="18"/>
        </w:rPr>
        <w:t xml:space="preserve"> </w:t>
      </w:r>
    </w:p>
    <w:p>
      <w:pPr>
        <w:pStyle w:val="TextBody"/>
        <w:numPr>
          <w:ilvl w:val="0"/>
          <w:numId w:val="2"/>
        </w:numPr>
        <w:tabs>
          <w:tab w:val="clear" w:pos="1134"/>
          <w:tab w:val="left" w:pos="1429" w:leader="none"/>
        </w:tabs>
        <w:bidi w:val="0"/>
        <w:spacing w:before="0" w:after="0"/>
        <w:ind w:left="1429" w:right="0" w:hanging="283"/>
        <w:jc w:val="both"/>
        <w:rPr>
          <w:sz w:val="18"/>
        </w:rPr>
      </w:pPr>
      <w:r>
        <w:rPr>
          <w:rFonts w:ascii="Times New Roman" w:hAnsi="Times New Roman"/>
          <w:color w:val="000000"/>
          <w:sz w:val="18"/>
        </w:rPr>
        <w:t>Total Loans, including loans held-for-sale, were approximately $2.0 billion at June 30, 2026, from a comparable level at December 31, 2025 and $1.9 billion at June 30, 2025</w:t>
      </w:r>
      <w:r>
        <w:rPr>
          <w:sz w:val="18"/>
        </w:rPr>
        <w:t xml:space="preserve"> </w:t>
      </w:r>
    </w:p>
    <w:p>
      <w:pPr>
        <w:pStyle w:val="TextBody"/>
        <w:numPr>
          <w:ilvl w:val="0"/>
          <w:numId w:val="2"/>
        </w:numPr>
        <w:tabs>
          <w:tab w:val="clear" w:pos="1134"/>
          <w:tab w:val="left" w:pos="1429" w:leader="none"/>
        </w:tabs>
        <w:bidi w:val="0"/>
        <w:spacing w:before="0" w:after="0"/>
        <w:ind w:left="1429" w:right="0" w:hanging="283"/>
        <w:jc w:val="both"/>
        <w:rPr>
          <w:sz w:val="18"/>
        </w:rPr>
      </w:pPr>
      <w:r>
        <w:rPr>
          <w:rFonts w:ascii="Times New Roman" w:hAnsi="Times New Roman"/>
          <w:color w:val="000000"/>
          <w:sz w:val="18"/>
        </w:rPr>
        <w:t xml:space="preserve">Earnings per share </w:t>
      </w:r>
      <w:r>
        <w:rPr>
          <w:rFonts w:ascii="Times New Roman" w:hAnsi="Times New Roman"/>
          <w:sz w:val="18"/>
        </w:rPr>
        <w:t>increased $0.15 per share, or 17.2%, to $1.02 per share for the quarter ended June 30, 2026 from $0.87 per share for the quarter ended June 30, 2025</w:t>
      </w:r>
      <w:r>
        <w:rPr>
          <w:sz w:val="18"/>
        </w:rPr>
        <w:t xml:space="preserve"> </w:t>
      </w:r>
    </w:p>
    <w:p>
      <w:pPr>
        <w:pStyle w:val="TextBody"/>
        <w:numPr>
          <w:ilvl w:val="0"/>
          <w:numId w:val="2"/>
        </w:numPr>
        <w:tabs>
          <w:tab w:val="clear" w:pos="1134"/>
          <w:tab w:val="left" w:pos="1429" w:leader="none"/>
        </w:tabs>
        <w:bidi w:val="0"/>
        <w:spacing w:before="0" w:after="120"/>
        <w:ind w:left="1429" w:right="0" w:hanging="283"/>
        <w:jc w:val="both"/>
        <w:rPr>
          <w:sz w:val="18"/>
        </w:rPr>
      </w:pPr>
      <w:r>
        <w:rPr>
          <w:rFonts w:ascii="Times New Roman" w:hAnsi="Times New Roman"/>
          <w:sz w:val="18"/>
        </w:rPr>
        <w:t>Book value per share grew $1.60, or 7.5%, to $22.87 at June 30, 2026, from $21.27 at December 31, 2025</w:t>
      </w:r>
      <w:r>
        <w:rPr>
          <w:sz w:val="18"/>
        </w:rPr>
        <w:t xml:space="preserve"> </w:t>
      </w:r>
    </w:p>
    <w:p>
      <w:pPr>
        <w:pStyle w:val="TextBody"/>
        <w:bidi w:val="0"/>
        <w:spacing w:before="0" w:after="120"/>
        <w:jc w:val="both"/>
        <w:rPr/>
      </w:pPr>
      <w:r>
        <w:rPr>
          <w:rFonts w:ascii="Times New Roman" w:hAnsi="Times New Roman"/>
          <w:b/>
          <w:sz w:val="18"/>
        </w:rPr>
        <w:t>MIDDLETOWN, N.Y., July 28, 2026</w:t>
      </w:r>
      <w:r>
        <w:rPr/>
        <w:t xml:space="preserve"> – </w:t>
      </w:r>
      <w:r>
        <w:rPr>
          <w:rFonts w:ascii="Times New Roman" w:hAnsi="Times New Roman"/>
          <w:sz w:val="18"/>
        </w:rPr>
        <w:t xml:space="preserve">Orange County Bancorp, Inc. (the “Company” - Nasdaq: OBT), parent company of Orange Bank &amp; Trust Co. (the “Bank”) and Orange Investment Advisors, Inc. (“OIA”), today announced net income of $13.7 million, or $1.02 per basic and diluted share, for the three months ended June 30, 2026. This compares with net income of $10.5 million, or $0.87 per basic and diluted share, for the three months ended June 30, 2025. The increase in earnings per share, basic and diluted, was due primarily to an increase in net interest income, a one-time reduction in deferred tax valuation allowance, and a reduction in provision for credit losses partially offset by a decrease in noninterest income, resulting from the recognition of a valuation loss related to loans held-for-sale, during the period. For the six months ended June 30, 2026, net income reached $24.9 million, or $1.87 per basic and diluted share, as compared to $19.2 million, or $1.64 per basic and diluted share, for the six months ended June 30, 2025. </w:t>
      </w:r>
    </w:p>
    <w:p>
      <w:pPr>
        <w:pStyle w:val="TextBody"/>
        <w:bidi w:val="0"/>
        <w:spacing w:before="0" w:after="120"/>
        <w:jc w:val="both"/>
        <w:rPr/>
      </w:pPr>
      <w:r>
        <w:rPr>
          <w:rFonts w:ascii="Times New Roman" w:hAnsi="Times New Roman"/>
          <w:sz w:val="18"/>
        </w:rPr>
        <w:t>Book value per share grew $1.60, or 7.5%, from $21.27 at December 31, 2025 to $22.87 at June 30, 2026. Tangible book value per share grew $1.61, or 7.7%, from $20.83 at December 31, 2025 to $22.44 at June 30, 2026 (see “Non-GAAP Financial Measure Reconciliation” below for additional detail).</w:t>
      </w:r>
      <w:r>
        <w:rPr/>
        <w:t> </w:t>
      </w:r>
      <w:r>
        <w:rPr>
          <w:rFonts w:ascii="Times New Roman" w:hAnsi="Times New Roman"/>
          <w:sz w:val="18"/>
        </w:rPr>
        <w:t>These increases were due primarily to earnings growth and included the reclassification of treatment of equity compensation during the six months ended June 30, 2026, as well as reversal of the valuation allowance associated with the deferred tax asset offset by the valuation loss on loans held-for-sale.</w:t>
      </w:r>
      <w:r>
        <w:rPr/>
        <w:t xml:space="preserve"> </w:t>
      </w:r>
    </w:p>
    <w:p>
      <w:pPr>
        <w:pStyle w:val="TextBody"/>
        <w:bidi w:val="0"/>
        <w:spacing w:before="0" w:after="120"/>
        <w:jc w:val="both"/>
        <w:rPr/>
      </w:pPr>
      <w:r>
        <w:rPr/>
        <w:t>“</w:t>
      </w:r>
      <w:r>
        <w:rPr>
          <w:rFonts w:ascii="Times New Roman" w:hAnsi="Times New Roman"/>
          <w:sz w:val="18"/>
        </w:rPr>
        <w:t>I am pleased to announce record second quarter financial results for the Bank led by continued growth of our low-cost deposit base and strength in net interest margin,” said Orange County Bancorp President and CEO Michael Gilfeather. “Our success reflects the unrelenting focus of our organization and ability to navigate challenging financial conditions as we continue to execute our strategic plan.”</w:t>
      </w:r>
      <w:r>
        <w:rPr/>
        <w:t xml:space="preserve"> </w:t>
      </w:r>
    </w:p>
    <w:p>
      <w:pPr>
        <w:pStyle w:val="TextBody"/>
        <w:bidi w:val="0"/>
        <w:spacing w:before="0" w:after="120"/>
        <w:jc w:val="both"/>
        <w:rPr/>
      </w:pPr>
      <w:r>
        <w:rPr/>
        <w:t>“</w:t>
      </w:r>
      <w:r>
        <w:rPr>
          <w:rFonts w:ascii="Times New Roman" w:hAnsi="Times New Roman"/>
          <w:sz w:val="18"/>
        </w:rPr>
        <w:t xml:space="preserve">For the quarter ended June 30, 2026, the Company earned $13.7 million, an increase of $3.2 million, or 30.6%, over the same quarter last year. Our results reflect strong overall performance, but also a meaningful contribution from a $5.3 million valuation allowance reversal related to our deferred tax asset largely offset by a $4.8 million fair value adjustment to loans held-for-sale. Adjusted for these items, the Company’s net income would have been approximately $12.6 million *. Total loans, including those held-for-sale, increased $23.6 million at quarter end, holding our total loan portfolio relatively flat at $2.0 billion versus year-end 2025. The trajectory of our loan growth has been impacted by unanticipated payoffs aggregating $81.1 million during the first half of 2026 as compared to $28.5 million during the same period last year. Our new loan pipeline remains robust, and we would anticipate these returning to more normal growth levels. The average yield on our loan portfolio was 6.03% for the second quarter of 2026, up 3 basis points from the same period last year. </w:t>
      </w:r>
    </w:p>
    <w:p>
      <w:pPr>
        <w:pStyle w:val="TextBody"/>
        <w:bidi w:val="0"/>
        <w:spacing w:before="0" w:after="120"/>
        <w:jc w:val="both"/>
        <w:rPr/>
      </w:pPr>
      <w:r>
        <w:rPr>
          <w:rFonts w:ascii="Times New Roman" w:hAnsi="Times New Roman"/>
          <w:sz w:val="18"/>
        </w:rPr>
        <w:t>Total deposit growth continued its favorable trend and remains a central element of our success - increasing $120.8 million, or 5.2%, to $2.4 billion at June 30, 2026 from $2.3 billion at December 31, 2025. The bulk of this growth came in core deposits, enabling us to nearly eliminate our use of higher cost broker-sourced deposits or borrowings. Success in our strategic efforts to attract low cost, organically – sourced deposits resulted in an average cost of deposits for the current quarter of 0.96%, down 35 basis points, or 26.6% from Q2 2025 and down 9 basis points or 8.2% versus Q1 2026. This is and will remain a key competitive strength of the Bank.  </w:t>
      </w:r>
      <w:r>
        <w:rPr/>
        <w:t xml:space="preserve"> </w:t>
      </w:r>
    </w:p>
    <w:p>
      <w:pPr>
        <w:pStyle w:val="TextBody"/>
        <w:bidi w:val="0"/>
        <w:spacing w:before="0" w:after="120"/>
        <w:jc w:val="both"/>
        <w:rPr/>
      </w:pPr>
      <w:r>
        <w:rPr>
          <w:rFonts w:ascii="Times New Roman" w:hAnsi="Times New Roman"/>
          <w:sz w:val="18"/>
        </w:rPr>
        <w:t xml:space="preserve">Not surprisingly, reduced deposit costs and increased loan yields resulted in a 38-basis point improvement in net interest margin from 4.06% for the three months ended June 30, 2025 to 4.44% for the quarter just ended. Prepayment fees associated with payoffs of existing loans also contributed to the margin expansion. The combination of our core strength, strong client relationships, low-cost deposit base and robust quality loan pipeline – give us confidence in our ability to deliver strong financial results. </w:t>
      </w:r>
      <w:r>
        <w:rPr>
          <w:color w:val="EE0000"/>
        </w:rPr>
        <w:t> </w:t>
      </w:r>
      <w:r>
        <w:rPr/>
        <w:t xml:space="preserve"> </w:t>
      </w:r>
    </w:p>
    <w:p>
      <w:pPr>
        <w:pStyle w:val="TextBody"/>
        <w:bidi w:val="0"/>
        <w:spacing w:before="0" w:after="120"/>
        <w:jc w:val="both"/>
        <w:rPr/>
      </w:pPr>
      <w:r>
        <w:rPr>
          <w:rFonts w:ascii="Times New Roman" w:hAnsi="Times New Roman"/>
          <w:sz w:val="18"/>
        </w:rPr>
        <w:t>Our Wealth Management division also appears to be stabilizing following a pullback related to key staff changes earlier this year. For the three months ended June 30, 2026, Wealth Management earned $3.2 million, down $178 thousand, or 5.2% versus the same quarter last year but down only $51 thousand, or 1.56% versus the prior quarter. Earnings for Wealth Management were impacted by a reduction in assets under management (AUM), primarily due to residual effects from last year’s divisional restructuring. We view Wealth Management as a key component of our business strategy and client value proposition.  </w:t>
      </w:r>
      <w:r>
        <w:rPr/>
        <w:t xml:space="preserve"> </w:t>
      </w:r>
    </w:p>
    <w:p>
      <w:pPr>
        <w:pStyle w:val="TextBody"/>
        <w:bidi w:val="0"/>
        <w:spacing w:before="0" w:after="120"/>
        <w:jc w:val="both"/>
        <w:rPr/>
      </w:pPr>
      <w:r>
        <w:rPr/>
        <w:t xml:space="preserve">  </w:t>
      </w:r>
    </w:p>
    <w:p>
      <w:pPr>
        <w:pStyle w:val="TextBody"/>
        <w:bidi w:val="0"/>
        <w:spacing w:before="0" w:after="120"/>
        <w:jc w:val="both"/>
        <w:rPr/>
      </w:pPr>
      <w:r>
        <w:rPr>
          <w:rFonts w:ascii="Times New Roman" w:hAnsi="Times New Roman"/>
          <w:sz w:val="18"/>
        </w:rPr>
        <w:t>* See Non-GAAP reconciliation table on p.5.</w:t>
      </w:r>
      <w:r>
        <w:rPr/>
        <w:t xml:space="preserve"> </w:t>
      </w:r>
    </w:p>
    <w:p>
      <w:pPr>
        <w:pStyle w:val="TextBody"/>
        <w:bidi w:val="0"/>
        <w:spacing w:before="0" w:after="0"/>
        <w:jc w:val="left"/>
        <w:rPr/>
      </w:pPr>
      <w:r>
        <w:rPr/>
        <w:t xml:space="preserve">  </w:t>
      </w:r>
    </w:p>
    <w:p>
      <w:pPr>
        <w:pStyle w:val="TextBody"/>
        <w:bidi w:val="0"/>
        <w:spacing w:before="0" w:after="0"/>
        <w:jc w:val="left"/>
        <w:rPr/>
      </w:pPr>
      <w:r>
        <w:rPr/>
        <w:t> </w:t>
      </w:r>
    </w:p>
    <w:p>
      <w:pPr>
        <w:pStyle w:val="HorizontalLine"/>
        <w:pBdr>
          <w:bottom w:val="double" w:sz="2" w:space="0" w:color="808080"/>
        </w:pBdr>
        <w:bidi w:val="0"/>
        <w:spacing w:before="0" w:after="283"/>
        <w:jc w:val="left"/>
        <w:rPr/>
      </w:pPr>
      <w:r>
        <w:rPr/>
      </w:r>
    </w:p>
    <w:p>
      <w:pPr>
        <w:pStyle w:val="TextBody"/>
        <w:bidi w:val="0"/>
        <w:spacing w:lineRule="atLeast" w:line="240" w:before="0" w:after="240"/>
        <w:jc w:val="both"/>
        <w:rPr>
          <w:rFonts w:ascii="Times New Roman" w:hAnsi="Times New Roman"/>
        </w:rPr>
      </w:pPr>
      <w:r>
        <w:rPr>
          <w:rFonts w:ascii="Times New Roman" w:hAnsi="Times New Roman"/>
          <w:sz w:val="18"/>
        </w:rPr>
        <w:t>The resiliency of our strategic plan, commitment and professionalism of our employees gives us the tools to manage market challenges, as our second quarter results show. We are proud of our performance and remain optimistic about opportunities ahead. We also remain confident in our ability to respond to evolving market conditions and draw on our experience and expertise to continue to manage risks, support our clients, and pursue compelling business opportunities. I again thank our employees, customers, and shareholders for their continued confidence and support.”</w:t>
      </w:r>
      <w:r>
        <w:rPr>
          <w:rFonts w:ascii="Times New Roman" w:hAnsi="Times New Roman"/>
        </w:rPr>
        <w:t xml:space="preserve"> </w:t>
      </w:r>
    </w:p>
    <w:p>
      <w:pPr>
        <w:pStyle w:val="TextBody"/>
        <w:bidi w:val="0"/>
        <w:spacing w:before="0" w:after="160"/>
        <w:jc w:val="left"/>
        <w:rPr/>
      </w:pPr>
      <w:r>
        <w:rPr>
          <w:rFonts w:ascii="Times New Roman" w:hAnsi="Times New Roman"/>
          <w:b/>
          <w:sz w:val="18"/>
        </w:rPr>
        <w:t>Second Quarter and Year to Date 2026 Financial Review</w:t>
      </w:r>
      <w:r>
        <w:rPr/>
        <w:t xml:space="preserve"> </w:t>
      </w:r>
    </w:p>
    <w:p>
      <w:pPr>
        <w:pStyle w:val="TextBody"/>
        <w:bidi w:val="0"/>
        <w:spacing w:before="0" w:after="60"/>
        <w:jc w:val="both"/>
        <w:rPr/>
      </w:pPr>
      <w:r>
        <w:rPr>
          <w:rFonts w:ascii="Times New Roman" w:hAnsi="Times New Roman"/>
          <w:b/>
          <w:i/>
          <w:sz w:val="18"/>
        </w:rPr>
        <w:t>Net Income</w:t>
      </w:r>
      <w:r>
        <w:rPr/>
        <w:t xml:space="preserve"> </w:t>
      </w:r>
    </w:p>
    <w:p>
      <w:pPr>
        <w:pStyle w:val="TextBody"/>
        <w:bidi w:val="0"/>
        <w:spacing w:before="0" w:after="160"/>
        <w:jc w:val="both"/>
        <w:rPr/>
      </w:pPr>
      <w:r>
        <w:rPr>
          <w:rFonts w:ascii="Times New Roman" w:hAnsi="Times New Roman"/>
          <w:sz w:val="18"/>
        </w:rPr>
        <w:t>Net income for the second quarter of 2026 was $13.7 million, an increase of $3.2 million, or 30.6%, from net income of $10.5 million for the second quarter of 2025. The growth in net income represents a combination of increased net interest income and reduced provision for credit losses, partially offset by reduced non-interest income during the quarter, which included a valuation loss of $4.8 million related to loans held-for-sale.  The improvement in the provision for credit losses represents the effect of slower loan growth resulting from accelerated loan repayments combined with lower reserve requirements related to the composition and performance of the loan portfolio and the associated impact of the resolution of certain nonperforming credits. The Company also reversed the valuation allowance associated with the deferred tax asset and recognized additional earnings of approximately $5.3 million.</w:t>
      </w:r>
      <w:r>
        <w:rPr>
          <w:color w:val="EE0000"/>
        </w:rPr>
        <w:t>  </w:t>
      </w:r>
      <w:r>
        <w:rPr>
          <w:rFonts w:ascii="Times New Roman" w:hAnsi="Times New Roman"/>
          <w:sz w:val="18"/>
        </w:rPr>
        <w:t>Net income for the six months ended June 30, 2026 was $24.9 million, an increase of $5.8 million, or 30.1%, from net income of $19.2 million for the six months ended June 30, 2025.</w:t>
      </w:r>
      <w:r>
        <w:rPr/>
        <w:t xml:space="preserve"> </w:t>
      </w:r>
    </w:p>
    <w:p>
      <w:pPr>
        <w:pStyle w:val="TextBody"/>
        <w:bidi w:val="0"/>
        <w:spacing w:before="0" w:after="60"/>
        <w:jc w:val="both"/>
        <w:rPr/>
      </w:pPr>
      <w:r>
        <w:rPr>
          <w:rFonts w:ascii="Times New Roman" w:hAnsi="Times New Roman"/>
          <w:b/>
          <w:i/>
          <w:sz w:val="18"/>
        </w:rPr>
        <w:t>Net Interest Income</w:t>
      </w:r>
      <w:r>
        <w:rPr/>
        <w:t xml:space="preserve"> </w:t>
      </w:r>
    </w:p>
    <w:p>
      <w:pPr>
        <w:pStyle w:val="TextBody"/>
        <w:bidi w:val="0"/>
        <w:spacing w:before="0" w:after="120"/>
        <w:jc w:val="both"/>
        <w:rPr/>
      </w:pPr>
      <w:r>
        <w:rPr>
          <w:rFonts w:ascii="Times New Roman" w:hAnsi="Times New Roman"/>
          <w:sz w:val="18"/>
        </w:rPr>
        <w:t>For the three months ended June 30, 2026, net interest income rose $3.3 million, or 13.1%, to $28.4 million as compared to $25.1 million during the same period last year reflecting an increase in total interest income of $1.5 million as a result of growth in interest and fees associated with loans and a $2.0 million decrease in total interest expense due to lower interest expense resulting from reduced borrowing costs during the period. For the six months ended June 30, 2026, net interest income reached $56.3 million representing an increase of $7.6 million, or 15.5% compared to the same period last year.</w:t>
      </w:r>
      <w:r>
        <w:rPr/>
        <w:t xml:space="preserve"> </w:t>
      </w:r>
    </w:p>
    <w:p>
      <w:pPr>
        <w:pStyle w:val="TextBody"/>
        <w:bidi w:val="0"/>
        <w:spacing w:before="0" w:after="120"/>
        <w:jc w:val="both"/>
        <w:rPr/>
      </w:pPr>
      <w:r>
        <w:rPr>
          <w:rFonts w:ascii="Times New Roman" w:hAnsi="Times New Roman"/>
          <w:sz w:val="18"/>
        </w:rPr>
        <w:t xml:space="preserve">Total interest income rose $1.3 million, or 4.0%, to $34.5 million for the three months ended June 30, 2026, compared to $33.2 million for the three months ended June 30, 2025. </w:t>
      </w:r>
      <w:r>
        <w:rPr>
          <w:rFonts w:ascii="Times New Roman" w:hAnsi="Times New Roman"/>
          <w:color w:val="000000"/>
          <w:sz w:val="18"/>
        </w:rPr>
        <w:t>The increase reflected 5.4% growth in interest and fees associated with loans coupled with increased interest income associated with fed funds and balances held at correspondent banks offset by a net decrease in interest income associated with investment securities. For the six months ended June 30, 2026, total interest income rose $3.8 million, or 5.9%, to $68.9 million as compared to $65.1 million for the six months ended June 30, 2025</w:t>
      </w:r>
      <w:r>
        <w:rPr>
          <w:rFonts w:ascii="Times New Roman" w:hAnsi="Times New Roman"/>
          <w:color w:val="EE0000"/>
          <w:sz w:val="18"/>
        </w:rPr>
        <w:t>.</w:t>
      </w:r>
      <w:r>
        <w:rPr/>
        <w:t xml:space="preserve"> </w:t>
      </w:r>
    </w:p>
    <w:p>
      <w:pPr>
        <w:pStyle w:val="TextBody"/>
        <w:bidi w:val="0"/>
        <w:spacing w:before="0" w:after="240"/>
        <w:jc w:val="both"/>
        <w:rPr/>
      </w:pPr>
      <w:r>
        <w:rPr>
          <w:rFonts w:ascii="Times New Roman" w:hAnsi="Times New Roman"/>
          <w:sz w:val="18"/>
        </w:rPr>
        <w:t xml:space="preserve">Total interest expense decreased $2.0 million during the second quarter of 2026, to $6.1 million, as compared to $8.1 million in the second quarter of 2025. Interest expense associated with savings and NOW accounts totaled $5.3 million during the second quarter of 2026 which was approximately the same as during the second quarter of 2025. Interest expense from FHLB advances and borrowings during the current quarter totaled $134 thousand as compared to $375 thousand during the second quarter of 2025. </w:t>
      </w:r>
      <w:r>
        <w:rPr>
          <w:rFonts w:ascii="Times New Roman" w:hAnsi="Times New Roman"/>
          <w:color w:val="000000"/>
          <w:sz w:val="18"/>
        </w:rPr>
        <w:t>The decrease was primarily due to lower average balances and costs associated with FHLB borrowings.  Interest expense associated with time deposits decreased to $256 thousand for the second quarter of 2026 from $2.2 million for the second quarter of 2025. This decrease represented the impact of lower brokered deposit levels due to increased core deposits over the same time period.  Interest expense related to subordinated notes increased and totaled $430 thousand during the second quarter of 2026 as compared to $231 thousand during the second quarter of 2025. During the six months ended June 30, 2026, total interest expense fell $3.7 million, to $12.7 million, as compared to $16.4 million for the same period last year.</w:t>
      </w:r>
      <w:r>
        <w:rPr/>
        <w:t xml:space="preserve"> </w:t>
      </w:r>
    </w:p>
    <w:p>
      <w:pPr>
        <w:pStyle w:val="TextBody"/>
        <w:bidi w:val="0"/>
        <w:spacing w:before="0" w:after="60"/>
        <w:jc w:val="both"/>
        <w:rPr/>
      </w:pPr>
      <w:r>
        <w:rPr>
          <w:rFonts w:ascii="Times New Roman" w:hAnsi="Times New Roman"/>
          <w:b/>
          <w:i/>
          <w:sz w:val="18"/>
        </w:rPr>
        <w:t>Provision for Credit Losses</w:t>
      </w:r>
      <w:r>
        <w:rPr/>
        <w:t xml:space="preserve"> </w:t>
      </w:r>
    </w:p>
    <w:p>
      <w:pPr>
        <w:pStyle w:val="TextBody"/>
        <w:bidi w:val="0"/>
        <w:spacing w:before="0" w:after="240"/>
        <w:jc w:val="both"/>
        <w:rPr/>
      </w:pPr>
      <w:r>
        <w:rPr>
          <w:rFonts w:ascii="Times New Roman" w:hAnsi="Times New Roman"/>
          <w:sz w:val="18"/>
        </w:rPr>
        <w:t>Provision for credit losses reflected a net recovery of $1.0 million for the three months ended June 30, 2026 as compared to an expense of $2.1 million for the three months ended June 30, 2025. The 2026 recovery was due primarily to slower loan growth combined with lower reserves associated with the composition of loans closed during the second quarter of 2026. The allowance for credit losses to loans was 1.38% as of June 30, 2026 versus 1.45% as of December 31, 2025 and 1.48% as of June 30, 2025. For the six months ended June 30, 2026, the provision for credit losses reflected a recovery of $1.5 million as compared to a provision of $2.3 million for the six months ended June 30, 2025. No additional reserves for investment securities were recorded during the first six months of 2026 or 2025.   </w:t>
      </w:r>
      <w:r>
        <w:rPr/>
        <w:t xml:space="preserve"> </w:t>
      </w:r>
    </w:p>
    <w:p>
      <w:pPr>
        <w:pStyle w:val="TextBody"/>
        <w:bidi w:val="0"/>
        <w:spacing w:before="0" w:after="60"/>
        <w:jc w:val="both"/>
        <w:rPr/>
      </w:pPr>
      <w:r>
        <w:rPr>
          <w:rFonts w:ascii="Times New Roman" w:hAnsi="Times New Roman"/>
          <w:b/>
          <w:i/>
          <w:sz w:val="18"/>
        </w:rPr>
        <w:t>Non-Interest Income</w:t>
      </w:r>
      <w:r>
        <w:rPr/>
        <w:t xml:space="preserve"> </w:t>
      </w:r>
    </w:p>
    <w:p>
      <w:pPr>
        <w:pStyle w:val="TextBody"/>
        <w:bidi w:val="0"/>
        <w:spacing w:before="0" w:after="240"/>
        <w:jc w:val="both"/>
        <w:rPr/>
      </w:pPr>
      <w:r>
        <w:rPr>
          <w:rFonts w:ascii="Times New Roman" w:hAnsi="Times New Roman"/>
          <w:sz w:val="18"/>
        </w:rPr>
        <w:t xml:space="preserve">Non-interest income decreased $7.9 million, or 108.3%, to a loss of $607 thousand for the three months ended June 30, 2026 as compared to $7.3 million for the three months ended June 30, 2025. This reduction was related primarily to the recognition of a $4.8 million valuation loss associated with loans held-for sale combined with approximately </w:t>
      </w:r>
      <w:r>
        <w:rPr>
          <w:rFonts w:ascii="Times New Roman" w:hAnsi="Times New Roman"/>
          <w:color w:val="000000"/>
          <w:sz w:val="18"/>
        </w:rPr>
        <w:t>$2.4 million of income associated with BOLI payments related to insurance death benefits in the prior year</w:t>
      </w:r>
      <w:r>
        <w:rPr/>
        <w:t xml:space="preserve"> </w:t>
      </w:r>
      <w:r>
        <w:rPr>
          <w:rFonts w:ascii="Times New Roman" w:hAnsi="Times New Roman"/>
          <w:sz w:val="18"/>
        </w:rPr>
        <w:t xml:space="preserve">and a $1.2 </w:t>
      </w:r>
      <w:r>
        <w:rPr>
          <w:rFonts w:ascii="Times New Roman" w:hAnsi="Times New Roman"/>
          <w:color w:val="000000"/>
          <w:sz w:val="18"/>
        </w:rPr>
        <w:t xml:space="preserve">million decrease in gains associated with the sale of a branch location. The Company’s other fee income categories remained relatively flat during the quarter and year to date. For the six months ended June 30, 2026, non-interest income decreased $8.1 million, to $3.6 </w:t>
      </w:r>
      <w:r>
        <w:rPr>
          <w:rFonts w:ascii="Times New Roman" w:hAnsi="Times New Roman"/>
          <w:sz w:val="18"/>
        </w:rPr>
        <w:t>million, as compared to $11.7 million for the six months ended June 30, 2025.</w:t>
      </w:r>
      <w:r>
        <w:rPr/>
        <w:t xml:space="preserve"> </w:t>
      </w:r>
    </w:p>
    <w:p>
      <w:pPr>
        <w:pStyle w:val="TextBody"/>
        <w:bidi w:val="0"/>
        <w:spacing w:before="0" w:after="60"/>
        <w:jc w:val="both"/>
        <w:rPr/>
      </w:pPr>
      <w:r>
        <w:rPr>
          <w:rFonts w:ascii="Times New Roman" w:hAnsi="Times New Roman"/>
          <w:b/>
          <w:i/>
          <w:sz w:val="18"/>
        </w:rPr>
        <w:t>Non-Interest Expense</w:t>
      </w:r>
      <w:r>
        <w:rPr/>
        <w:t xml:space="preserve"> </w:t>
      </w:r>
    </w:p>
    <w:p>
      <w:pPr>
        <w:pStyle w:val="TextBody"/>
        <w:bidi w:val="0"/>
        <w:spacing w:before="0" w:after="240"/>
        <w:jc w:val="both"/>
        <w:rPr/>
      </w:pPr>
      <w:r>
        <w:rPr>
          <w:rFonts w:ascii="Times New Roman" w:hAnsi="Times New Roman"/>
          <w:sz w:val="18"/>
        </w:rPr>
        <w:t xml:space="preserve">Non-interest expense was $17.3 million for the second quarter of 2026, reflecting an increase of $515 thousand, or 3.1%, as compared to $16.8 million for the same period in 2025.  The increase in non-interest expense for the current quarter reflected the Company’s investment in growth. This investment consists primarily of increases in compensation, employee benefits, and professional fees. Our efficiency ratio, which is a non-GAAP measurement, </w:t>
      </w:r>
      <w:r>
        <w:rPr>
          <w:rFonts w:ascii="Times New Roman" w:hAnsi="Times New Roman"/>
          <w:color w:val="000000"/>
          <w:sz w:val="18"/>
        </w:rPr>
        <w:t xml:space="preserve">increased to 62.1% for </w:t>
      </w:r>
      <w:r>
        <w:rPr>
          <w:rFonts w:ascii="Times New Roman" w:hAnsi="Times New Roman"/>
          <w:sz w:val="18"/>
        </w:rPr>
        <w:t xml:space="preserve">the three months ended June 30, 2026, from 51.6% for the same period in 2025. For the six months ended June 30, 2026, our efficiency ratio </w:t>
      </w:r>
      <w:r>
        <w:rPr>
          <w:rFonts w:ascii="Times New Roman" w:hAnsi="Times New Roman"/>
          <w:color w:val="000000"/>
          <w:sz w:val="18"/>
        </w:rPr>
        <w:t>increased to 58.8% from 55.0% f</w:t>
      </w:r>
      <w:r>
        <w:rPr>
          <w:rFonts w:ascii="Times New Roman" w:hAnsi="Times New Roman"/>
          <w:sz w:val="18"/>
        </w:rPr>
        <w:t xml:space="preserve">or the same period in 2025.  Adjusted for the impact of the valuation loss on loans held-for-sale, the efficiency ratios for the three months ended and the six months ended June 30, 2026 would have been 53.0% and 54.4%, respectively.  Non-interest expense for the six months ended June 30, 2026 reached $35.2 million, reflecting a $1.9 million increase over non-interest expense of $33.3 million for the six months ended June 30, 2025.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60"/>
        <w:jc w:val="both"/>
        <w:rPr/>
      </w:pPr>
      <w:r>
        <w:rPr>
          <w:rFonts w:ascii="Times New Roman" w:hAnsi="Times New Roman"/>
          <w:b/>
          <w:i/>
          <w:sz w:val="18"/>
        </w:rPr>
        <w:t>Income Tax Expense</w:t>
      </w:r>
      <w:r>
        <w:rPr/>
        <w:t xml:space="preserve"> </w:t>
      </w:r>
    </w:p>
    <w:p>
      <w:pPr>
        <w:pStyle w:val="TextBody"/>
        <w:bidi w:val="0"/>
        <w:spacing w:before="0" w:after="240"/>
        <w:jc w:val="both"/>
        <w:rPr/>
      </w:pPr>
      <w:r>
        <w:rPr>
          <w:rFonts w:ascii="Times New Roman" w:hAnsi="Times New Roman"/>
          <w:sz w:val="18"/>
        </w:rPr>
        <w:t>Provision for income taxes for the three months ended June 30, 2026 reflected a net credit of $2.1 million, representing a net decrease of $5.2 million as compared to provision expense of $3.1 million for the three months ended June 30, 2025. The decrease in the provision for income tax was directly related to the Company’s reversal of the deferred tax valuation allowance. The reversal was based on the financial strength of the company and sustained history of profitability which demonstrates the likelihood of realizing the benefits of the deferred tax asset. Accordingly, the reversal increased net income for the period. For the six months ended June 30, 2026, the provision for income taxes was $1.2 million as compared to $5.7 million for the six months ended June 30, 2025. Our effective tax rate for the three month period ended June 30, 2026 was (18.2%), as compared to 23.0% for the same period in 2025. Our effective tax rate for the six month period ended June 30, 2026 was 4.6%, as compared to 23.0% for the same period in 2025.  </w:t>
      </w:r>
      <w:r>
        <w:rPr/>
        <w:t xml:space="preserve"> </w:t>
      </w:r>
    </w:p>
    <w:p>
      <w:pPr>
        <w:pStyle w:val="TextBody"/>
        <w:bidi w:val="0"/>
        <w:spacing w:before="0" w:after="60"/>
        <w:jc w:val="both"/>
        <w:rPr/>
      </w:pPr>
      <w:r>
        <w:rPr>
          <w:rFonts w:ascii="Times New Roman" w:hAnsi="Times New Roman"/>
          <w:b/>
          <w:i/>
          <w:sz w:val="18"/>
        </w:rPr>
        <w:t>Financial Condition</w:t>
      </w:r>
      <w:r>
        <w:rPr/>
        <w:t xml:space="preserve"> </w:t>
      </w:r>
    </w:p>
    <w:p>
      <w:pPr>
        <w:pStyle w:val="TextBody"/>
        <w:bidi w:val="0"/>
        <w:spacing w:before="0" w:after="120"/>
        <w:jc w:val="both"/>
        <w:rPr/>
      </w:pPr>
      <w:r>
        <w:rPr>
          <w:rFonts w:ascii="Times New Roman" w:hAnsi="Times New Roman"/>
          <w:sz w:val="18"/>
        </w:rPr>
        <w:t>Total consolidated assets increased by $141.0 million, or 5.3%, reaching $2.8 billion at June 30, 2026 from $2.7 billion at December 31, 2025. The increase reflects an increase in cash and loans (including loans held-for-sale) offset by repayments and maturities of securities during the current six month period.</w:t>
      </w:r>
      <w:r>
        <w:rPr/>
        <w:t xml:space="preserve"> </w:t>
      </w:r>
    </w:p>
    <w:p>
      <w:pPr>
        <w:pStyle w:val="TextBody"/>
        <w:bidi w:val="0"/>
        <w:spacing w:before="0" w:after="120"/>
        <w:jc w:val="both"/>
        <w:rPr/>
      </w:pPr>
      <w:r>
        <w:rPr>
          <w:rFonts w:ascii="Times New Roman" w:hAnsi="Times New Roman"/>
          <w:sz w:val="18"/>
        </w:rPr>
        <w:t xml:space="preserve">Total cash and due from banks increased from $204.2 million at December 31, 2025, to $334.9 million at June 30, 2026, an increase of approximately $130.7 million, or 64.0%. This increase </w:t>
      </w:r>
      <w:r>
        <w:rPr>
          <w:rFonts w:ascii="Times New Roman" w:hAnsi="Times New Roman"/>
          <w:color w:val="000000"/>
          <w:sz w:val="18"/>
        </w:rPr>
        <w:t xml:space="preserve">resulted mainly from higher levels of deposit balances and paydowns and maturities of securities as well as payoffs of loans which elevated </w:t>
      </w:r>
      <w:r>
        <w:rPr>
          <w:rFonts w:ascii="Times New Roman" w:hAnsi="Times New Roman"/>
          <w:sz w:val="18"/>
        </w:rPr>
        <w:t>cash levels at quarter end.  </w:t>
      </w:r>
      <w:r>
        <w:rPr/>
        <w:t xml:space="preserve"> </w:t>
      </w:r>
    </w:p>
    <w:p>
      <w:pPr>
        <w:pStyle w:val="TextBody"/>
        <w:bidi w:val="0"/>
        <w:spacing w:before="0" w:after="120"/>
        <w:jc w:val="both"/>
        <w:rPr/>
      </w:pPr>
      <w:r>
        <w:rPr>
          <w:rFonts w:ascii="Times New Roman" w:hAnsi="Times New Roman"/>
          <w:sz w:val="18"/>
        </w:rPr>
        <w:t>Total investment securities decreased $23.5 million, or 5.6%, from $419.4 million at December 31, 2025 to $395.9</w:t>
      </w:r>
      <w:r>
        <w:rPr>
          <w:color w:val="000000"/>
        </w:rPr>
        <w:t xml:space="preserve"> </w:t>
      </w:r>
      <w:r>
        <w:rPr>
          <w:rFonts w:ascii="Times New Roman" w:hAnsi="Times New Roman"/>
          <w:color w:val="000000"/>
          <w:sz w:val="18"/>
        </w:rPr>
        <w:t xml:space="preserve">million at June 30, 2026. The decrease continues to be driven primarily by investment repayments and maturities during the first six months of 2026. </w:t>
      </w:r>
    </w:p>
    <w:p>
      <w:pPr>
        <w:pStyle w:val="TextBody"/>
        <w:bidi w:val="0"/>
        <w:spacing w:before="0" w:after="120"/>
        <w:jc w:val="both"/>
        <w:rPr/>
      </w:pPr>
      <w:r>
        <w:rPr>
          <w:rFonts w:ascii="Times New Roman" w:hAnsi="Times New Roman"/>
          <w:sz w:val="18"/>
        </w:rPr>
        <w:t xml:space="preserve">Total loans, including loans held-for-sale, </w:t>
      </w:r>
      <w:r>
        <w:rPr>
          <w:rFonts w:ascii="Times New Roman" w:hAnsi="Times New Roman"/>
          <w:color w:val="000000"/>
          <w:sz w:val="18"/>
        </w:rPr>
        <w:t xml:space="preserve">increased $28.3 million, or 1.5%, to $2.0 billion at June 30, 2026 from December 31, 2025. The loan portfolio experienced growth in commercial real estate, commercial real estate construction, and consumer loans offset by decreases in commercial and industrial loans. </w:t>
      </w:r>
    </w:p>
    <w:p>
      <w:pPr>
        <w:pStyle w:val="TextBody"/>
        <w:bidi w:val="0"/>
        <w:spacing w:before="0" w:after="0"/>
        <w:jc w:val="both"/>
        <w:rPr/>
      </w:pPr>
      <w:r>
        <w:rPr>
          <w:rFonts w:ascii="Times New Roman" w:hAnsi="Times New Roman"/>
          <w:sz w:val="18"/>
        </w:rPr>
        <w:t>During the six months ended June 30, 2026, the Company transferred loans with an aggregate principal balance of $68.4 million from the loan portfolio to loans held-for-sale. At the date of transfer, the loans were recorded as held-for-sale at $63.6 million, net of a valuation allowance of $4.8 million. As of June 30, 2026, the loans held-for-sale portfolio consisted of approximately $44.0 million of residential real estate loans and approximately $19.6 million of home equity loans.</w:t>
      </w:r>
      <w:r>
        <w:rPr/>
        <w:t xml:space="preserve"> </w:t>
      </w:r>
    </w:p>
    <w:p>
      <w:pPr>
        <w:pStyle w:val="TextBody"/>
        <w:bidi w:val="0"/>
        <w:spacing w:before="0" w:after="0"/>
        <w:jc w:val="both"/>
        <w:rPr/>
      </w:pPr>
      <w:r>
        <w:rPr/>
        <w:t xml:space="preserve">  </w:t>
      </w:r>
    </w:p>
    <w:p>
      <w:pPr>
        <w:pStyle w:val="TextBody"/>
        <w:bidi w:val="0"/>
        <w:spacing w:before="0" w:after="0"/>
        <w:jc w:val="both"/>
        <w:rPr/>
      </w:pPr>
      <w:r>
        <w:rPr>
          <w:rFonts w:ascii="Times New Roman" w:hAnsi="Times New Roman"/>
          <w:sz w:val="18"/>
        </w:rPr>
        <w:t>The six months ended June 30, 2026, also included $81.1 million of loan prepayments compared to $28.5 million for the six months ended June 30, 2025.</w:t>
      </w:r>
      <w:r>
        <w:rPr/>
        <w:t xml:space="preserve"> </w:t>
      </w:r>
    </w:p>
    <w:p>
      <w:pPr>
        <w:pStyle w:val="TextBody"/>
        <w:bidi w:val="0"/>
        <w:spacing w:before="0" w:after="0"/>
        <w:jc w:val="both"/>
        <w:rPr/>
      </w:pPr>
      <w:r>
        <w:rPr/>
        <w:t xml:space="preserve">  </w:t>
      </w:r>
    </w:p>
    <w:p>
      <w:pPr>
        <w:pStyle w:val="TextBody"/>
        <w:bidi w:val="0"/>
        <w:spacing w:before="0" w:after="120"/>
        <w:jc w:val="both"/>
        <w:rPr/>
      </w:pPr>
      <w:r>
        <w:rPr>
          <w:rFonts w:ascii="Times New Roman" w:hAnsi="Times New Roman"/>
          <w:sz w:val="18"/>
        </w:rPr>
        <w:t xml:space="preserve">Total deposits increased $120.8 million, to $2.4 billion at June 30, 2026 from $2.3 billion at December 31, 2025. The increase was due primarily to $104.4 </w:t>
      </w:r>
      <w:r>
        <w:rPr>
          <w:rFonts w:ascii="Times New Roman" w:hAnsi="Times New Roman"/>
          <w:color w:val="000000"/>
          <w:sz w:val="18"/>
        </w:rPr>
        <w:t xml:space="preserve">million, or 10.4%, of growth in savings and money market accounts which totaled approximately $1.1 billion at June 30, 2026 as compared to $1.0 billion at December 31, 2025. </w:t>
      </w:r>
      <w:r>
        <w:rPr>
          <w:rFonts w:ascii="Times New Roman" w:hAnsi="Times New Roman"/>
          <w:sz w:val="18"/>
        </w:rPr>
        <w:t>Interest bearing demand deposits</w:t>
      </w:r>
      <w:r>
        <w:rPr>
          <w:color w:val="000000"/>
        </w:rPr>
        <w:t xml:space="preserve"> </w:t>
      </w:r>
      <w:r>
        <w:rPr>
          <w:rFonts w:ascii="Times New Roman" w:hAnsi="Times New Roman"/>
          <w:color w:val="000000"/>
          <w:sz w:val="18"/>
        </w:rPr>
        <w:t xml:space="preserve">increased </w:t>
      </w:r>
      <w:r>
        <w:rPr>
          <w:rFonts w:ascii="Times New Roman" w:hAnsi="Times New Roman"/>
          <w:sz w:val="18"/>
        </w:rPr>
        <w:t xml:space="preserve">$71.1 million, or 17.0% to $490.7 million at June 30, 2026 from $419.6 million at December 31, 2025. Non-interest-bearing demand deposits increased $68.3 million, or 9.4% to $793.9 million at June 30, 2026 from $725.7 million at December 31, 2025. The increase in deposits was partially offset by </w:t>
      </w:r>
      <w:r>
        <w:rPr>
          <w:rFonts w:ascii="Times New Roman" w:hAnsi="Times New Roman"/>
          <w:color w:val="000000"/>
          <w:sz w:val="18"/>
        </w:rPr>
        <w:t>certificates of deposit which represented a $123.0 million decrease as the increased deposit levels of transaction accounts provided for run-off of maturing brokered deposits during the period. Deposit composition at June 30, 2026 included 52.8% in demand deposit accounts (including NO</w:t>
      </w:r>
      <w:r>
        <w:rPr>
          <w:rFonts w:ascii="Times New Roman" w:hAnsi="Times New Roman"/>
          <w:sz w:val="18"/>
        </w:rPr>
        <w:t>W accounts) as a percentage of total deposits. Uninsured deposits, net of fully collateralized municipal relationships, remain stable and represented approximately 52% at June 30, 2026 and 46% at December 31, 2025.</w:t>
      </w:r>
      <w:r>
        <w:rPr/>
        <w:t xml:space="preserve"> </w:t>
      </w:r>
    </w:p>
    <w:p>
      <w:pPr>
        <w:pStyle w:val="TextBody"/>
        <w:bidi w:val="0"/>
        <w:spacing w:before="0" w:after="120"/>
        <w:jc w:val="both"/>
        <w:rPr/>
      </w:pPr>
      <w:r>
        <w:rPr>
          <w:rFonts w:ascii="Times New Roman" w:hAnsi="Times New Roman"/>
          <w:sz w:val="18"/>
        </w:rPr>
        <w:t xml:space="preserve">FHLBNY long-term borrowings </w:t>
      </w:r>
      <w:r>
        <w:rPr>
          <w:rFonts w:ascii="Times New Roman" w:hAnsi="Times New Roman"/>
          <w:color w:val="000000"/>
          <w:sz w:val="18"/>
        </w:rPr>
        <w:t xml:space="preserve">remained at $10.0 million </w:t>
      </w:r>
      <w:r>
        <w:rPr>
          <w:rFonts w:ascii="Times New Roman" w:hAnsi="Times New Roman"/>
          <w:sz w:val="18"/>
        </w:rPr>
        <w:t xml:space="preserve">at June 30, 2026 and December 31, 2025, respectively. The stability and low level in borrowings represents the effect of deposit growth outpacing loan growth during the quarter, allowing for low borrowing levels and </w:t>
      </w:r>
      <w:r>
        <w:rPr>
          <w:rFonts w:ascii="Times New Roman" w:hAnsi="Times New Roman"/>
          <w:color w:val="000000"/>
          <w:sz w:val="18"/>
        </w:rPr>
        <w:t xml:space="preserve">higher cash levels </w:t>
      </w:r>
      <w:r>
        <w:rPr>
          <w:rFonts w:ascii="Times New Roman" w:hAnsi="Times New Roman"/>
          <w:sz w:val="18"/>
        </w:rPr>
        <w:t>at June 30, 2026.</w:t>
      </w:r>
      <w:r>
        <w:rPr/>
        <w:t xml:space="preserve"> </w:t>
      </w:r>
    </w:p>
    <w:p>
      <w:pPr>
        <w:pStyle w:val="TextBody"/>
        <w:bidi w:val="0"/>
        <w:spacing w:before="0" w:after="120"/>
        <w:jc w:val="both"/>
        <w:rPr/>
      </w:pPr>
      <w:r>
        <w:rPr>
          <w:rFonts w:ascii="Times New Roman" w:hAnsi="Times New Roman"/>
          <w:sz w:val="18"/>
        </w:rPr>
        <w:t>Stockholders’ equity increased $22.2 million, or 7.8%, to $306.6 million at June 30, 2026 from $284.4 million at December 31, 2025. The increase was due to the effect of $24.9 million in net income as well as a liability-to-equity reclassification of equity awards in the amount of $2.3 million offset by dividends of $4.8 million and a $1.4 million increase in unrealized losses on the market value of investment securities in the Company’s equity as accumulated other comprehensive income (loss) (“AOCI”), net of taxes during the first six months of 2026.</w:t>
      </w:r>
      <w:r>
        <w:rPr/>
        <w:t xml:space="preserve"> </w:t>
      </w:r>
    </w:p>
    <w:p>
      <w:pPr>
        <w:pStyle w:val="TextBody"/>
        <w:bidi w:val="0"/>
        <w:spacing w:before="0" w:after="60"/>
        <w:jc w:val="both"/>
        <w:rPr/>
      </w:pPr>
      <w:r>
        <w:rPr>
          <w:rFonts w:ascii="Times New Roman" w:hAnsi="Times New Roman"/>
          <w:sz w:val="18"/>
        </w:rPr>
        <w:t xml:space="preserve">At June 30, 2026, the Bank maintained capital ratios in excess of regulatory standards for well capitalized institutions. The Bank’s Tier 1 capital-to-average-assets ratio </w:t>
      </w:r>
      <w:r>
        <w:rPr>
          <w:rFonts w:ascii="Times New Roman" w:hAnsi="Times New Roman"/>
          <w:color w:val="000000"/>
          <w:sz w:val="18"/>
        </w:rPr>
        <w:t xml:space="preserve">was 13.15%, both </w:t>
      </w:r>
      <w:r>
        <w:rPr>
          <w:rFonts w:ascii="Times New Roman" w:hAnsi="Times New Roman"/>
          <w:sz w:val="18"/>
        </w:rPr>
        <w:t xml:space="preserve">common equity and Tier 1 capital-to-risk-weighted-assets </w:t>
      </w:r>
      <w:r>
        <w:rPr>
          <w:rFonts w:ascii="Times New Roman" w:hAnsi="Times New Roman"/>
          <w:color w:val="000000"/>
          <w:sz w:val="18"/>
        </w:rPr>
        <w:t xml:space="preserve">were 17.95%, and </w:t>
      </w:r>
      <w:r>
        <w:rPr>
          <w:rFonts w:ascii="Times New Roman" w:hAnsi="Times New Roman"/>
          <w:sz w:val="18"/>
        </w:rPr>
        <w:t xml:space="preserve">total-capital-to-risk-weighted-assets was </w:t>
      </w:r>
      <w:r>
        <w:rPr>
          <w:rFonts w:ascii="Times New Roman" w:hAnsi="Times New Roman"/>
          <w:color w:val="000000"/>
          <w:sz w:val="18"/>
        </w:rPr>
        <w:t>19.20%.</w:t>
      </w: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60"/>
        <w:jc w:val="both"/>
        <w:rPr/>
      </w:pPr>
      <w:r>
        <w:rPr>
          <w:rFonts w:ascii="Times New Roman" w:hAnsi="Times New Roman"/>
          <w:b/>
          <w:i/>
          <w:sz w:val="18"/>
        </w:rPr>
        <w:t>Wealth Management</w:t>
      </w:r>
      <w:r>
        <w:rPr/>
        <w:t xml:space="preserve"> </w:t>
      </w:r>
    </w:p>
    <w:p>
      <w:pPr>
        <w:pStyle w:val="TextBody"/>
        <w:bidi w:val="0"/>
        <w:spacing w:before="0" w:after="120"/>
        <w:jc w:val="both"/>
        <w:rPr/>
      </w:pPr>
      <w:r>
        <w:rPr>
          <w:rFonts w:ascii="Times New Roman" w:hAnsi="Times New Roman"/>
          <w:sz w:val="18"/>
        </w:rPr>
        <w:t xml:space="preserve">At June 30, 2026, our Wealth Management Division, which includes trust and investment advisory, </w:t>
      </w:r>
      <w:r>
        <w:rPr>
          <w:rFonts w:ascii="Times New Roman" w:hAnsi="Times New Roman"/>
          <w:color w:val="000000"/>
          <w:sz w:val="18"/>
        </w:rPr>
        <w:t xml:space="preserve">held $1.7 billion </w:t>
      </w:r>
      <w:r>
        <w:rPr>
          <w:rFonts w:ascii="Times New Roman" w:hAnsi="Times New Roman"/>
          <w:sz w:val="18"/>
        </w:rPr>
        <w:t xml:space="preserve">in assets under management or advisory, as compared to $1.9 billion at December 31, 2025, an 11.4% decrease. Trust and investment advisory income for the three months ended June 30, 2026 was $3.2 million, representing a </w:t>
      </w:r>
      <w:r>
        <w:rPr>
          <w:rFonts w:ascii="Times New Roman" w:hAnsi="Times New Roman"/>
          <w:color w:val="000000"/>
          <w:sz w:val="18"/>
        </w:rPr>
        <w:t xml:space="preserve">decrease of $178 thousand, or 5.2%, </w:t>
      </w:r>
      <w:r>
        <w:rPr>
          <w:rFonts w:ascii="Times New Roman" w:hAnsi="Times New Roman"/>
          <w:sz w:val="18"/>
        </w:rPr>
        <w:t>as compared to $3.4 million for the three months ended June 30, 2025.</w:t>
      </w:r>
      <w:r>
        <w:rPr/>
        <w:t xml:space="preserve"> </w:t>
      </w:r>
    </w:p>
    <w:p>
      <w:pPr>
        <w:pStyle w:val="TextBody"/>
        <w:bidi w:val="0"/>
        <w:spacing w:before="0" w:after="120"/>
        <w:jc w:val="both"/>
        <w:rPr/>
      </w:pPr>
      <w:r>
        <w:rPr>
          <w:rFonts w:ascii="Times New Roman" w:hAnsi="Times New Roman"/>
          <w:sz w:val="18"/>
        </w:rPr>
        <w:t>The breakdown of trust and investment advisory assets as of June 30, 2026 and December 31, 2025, respectively, is as follows:</w:t>
      </w:r>
      <w:r>
        <w:rPr/>
        <w:t xml:space="preserve"> </w:t>
      </w:r>
    </w:p>
    <w:tbl>
      <w:tblPr>
        <w:tblW w:w="8856" w:type="dxa"/>
        <w:jc w:val="left"/>
        <w:tblInd w:w="0" w:type="dxa"/>
        <w:tblLayout w:type="fixed"/>
        <w:tblCellMar>
          <w:top w:w="28" w:type="dxa"/>
          <w:left w:w="28" w:type="dxa"/>
          <w:bottom w:w="28" w:type="dxa"/>
          <w:right w:w="28" w:type="dxa"/>
        </w:tblCellMar>
      </w:tblPr>
      <w:tblGrid>
        <w:gridCol w:w="3841"/>
        <w:gridCol w:w="206"/>
        <w:gridCol w:w="256"/>
        <w:gridCol w:w="946"/>
        <w:gridCol w:w="206"/>
        <w:gridCol w:w="871"/>
        <w:gridCol w:w="206"/>
        <w:gridCol w:w="256"/>
        <w:gridCol w:w="946"/>
        <w:gridCol w:w="206"/>
        <w:gridCol w:w="916"/>
      </w:tblGrid>
      <w:tr>
        <w:trPr/>
        <w:tc>
          <w:tcPr>
            <w:tcW w:w="384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946"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946"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916" w:type="dxa"/>
            <w:tcBorders/>
            <w:vAlign w:val="center"/>
          </w:tcPr>
          <w:p>
            <w:pPr>
              <w:pStyle w:val="TableContents"/>
              <w:bidi w:val="0"/>
              <w:spacing w:before="0" w:after="1"/>
              <w:jc w:val="left"/>
              <w:rPr/>
            </w:pPr>
            <w:r>
              <w:rPr/>
              <w:t xml:space="preserve">  </w:t>
            </w:r>
          </w:p>
        </w:tc>
      </w:tr>
      <w:tr>
        <w:trPr/>
        <w:tc>
          <w:tcPr>
            <w:tcW w:w="384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2279" w:type="dxa"/>
            <w:gridSpan w:val="4"/>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At June 30, 2026</w:t>
            </w:r>
            <w:r>
              <w:rPr/>
              <w:t xml:space="preserve"> </w:t>
            </w:r>
          </w:p>
        </w:tc>
        <w:tc>
          <w:tcPr>
            <w:tcW w:w="206" w:type="dxa"/>
            <w:tcBorders/>
            <w:vAlign w:val="center"/>
          </w:tcPr>
          <w:p>
            <w:pPr>
              <w:pStyle w:val="TableContents"/>
              <w:bidi w:val="0"/>
              <w:spacing w:before="0" w:after="1"/>
              <w:jc w:val="center"/>
              <w:rPr/>
            </w:pPr>
            <w:r>
              <w:rPr/>
              <w:t xml:space="preserve">  </w:t>
            </w:r>
          </w:p>
        </w:tc>
        <w:tc>
          <w:tcPr>
            <w:tcW w:w="2324" w:type="dxa"/>
            <w:gridSpan w:val="4"/>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At December 31, 2025</w:t>
            </w:r>
            <w:r>
              <w:rPr/>
              <w:t xml:space="preserve"> </w:t>
            </w:r>
          </w:p>
        </w:tc>
      </w:tr>
      <w:tr>
        <w:trPr/>
        <w:tc>
          <w:tcPr>
            <w:tcW w:w="3841" w:type="dxa"/>
            <w:tcBorders/>
            <w:vAlign w:val="center"/>
          </w:tcPr>
          <w:p>
            <w:pPr>
              <w:pStyle w:val="TableContents"/>
              <w:bidi w:val="0"/>
              <w:spacing w:before="0" w:after="1"/>
              <w:jc w:val="center"/>
              <w:rPr/>
            </w:pPr>
            <w:r>
              <w:rPr/>
              <w:t xml:space="preserve">  </w:t>
            </w:r>
          </w:p>
        </w:tc>
        <w:tc>
          <w:tcPr>
            <w:tcW w:w="206" w:type="dxa"/>
            <w:tcBorders/>
            <w:vAlign w:val="center"/>
          </w:tcPr>
          <w:p>
            <w:pPr>
              <w:pStyle w:val="TableContents"/>
              <w:bidi w:val="0"/>
              <w:spacing w:before="0" w:after="1"/>
              <w:jc w:val="center"/>
              <w:rPr/>
            </w:pPr>
            <w:r>
              <w:rPr/>
              <w:t xml:space="preserve">  </w:t>
            </w:r>
          </w:p>
        </w:tc>
        <w:tc>
          <w:tcPr>
            <w:tcW w:w="1202"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8"/>
              </w:rPr>
              <w:t>Amount</w:t>
            </w:r>
            <w:r>
              <w:rPr/>
              <w:t xml:space="preserve"> </w:t>
            </w:r>
          </w:p>
        </w:tc>
        <w:tc>
          <w:tcPr>
            <w:tcW w:w="206" w:type="dxa"/>
            <w:tcBorders/>
            <w:vAlign w:val="center"/>
          </w:tcPr>
          <w:p>
            <w:pPr>
              <w:pStyle w:val="TableContents"/>
              <w:bidi w:val="0"/>
              <w:spacing w:before="0" w:after="1"/>
              <w:jc w:val="center"/>
              <w:rPr/>
            </w:pPr>
            <w:r>
              <w:rPr/>
              <w:t xml:space="preserve">  </w:t>
            </w:r>
          </w:p>
        </w:tc>
        <w:tc>
          <w:tcPr>
            <w:tcW w:w="871" w:type="dxa"/>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8"/>
              </w:rPr>
              <w:t>Percent</w:t>
            </w:r>
            <w:r>
              <w:rPr/>
              <w:t xml:space="preserve"> </w:t>
            </w:r>
          </w:p>
        </w:tc>
        <w:tc>
          <w:tcPr>
            <w:tcW w:w="206" w:type="dxa"/>
            <w:tcBorders/>
            <w:vAlign w:val="center"/>
          </w:tcPr>
          <w:p>
            <w:pPr>
              <w:pStyle w:val="TableContents"/>
              <w:bidi w:val="0"/>
              <w:spacing w:before="0" w:after="1"/>
              <w:jc w:val="center"/>
              <w:rPr/>
            </w:pPr>
            <w:r>
              <w:rPr/>
              <w:t xml:space="preserve">  </w:t>
            </w:r>
          </w:p>
        </w:tc>
        <w:tc>
          <w:tcPr>
            <w:tcW w:w="1202"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8"/>
              </w:rPr>
              <w:t>Amount</w:t>
            </w:r>
            <w:r>
              <w:rPr/>
              <w:t xml:space="preserve"> </w:t>
            </w:r>
          </w:p>
        </w:tc>
        <w:tc>
          <w:tcPr>
            <w:tcW w:w="206" w:type="dxa"/>
            <w:tcBorders/>
            <w:vAlign w:val="center"/>
          </w:tcPr>
          <w:p>
            <w:pPr>
              <w:pStyle w:val="TableContents"/>
              <w:bidi w:val="0"/>
              <w:spacing w:before="0" w:after="1"/>
              <w:jc w:val="center"/>
              <w:rPr/>
            </w:pPr>
            <w:r>
              <w:rPr/>
              <w:t xml:space="preserve">  </w:t>
            </w:r>
          </w:p>
        </w:tc>
        <w:tc>
          <w:tcPr>
            <w:tcW w:w="916" w:type="dxa"/>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8"/>
              </w:rPr>
              <w:t>Percent</w:t>
            </w:r>
            <w:r>
              <w:rPr/>
              <w:t xml:space="preserve"> </w:t>
            </w:r>
          </w:p>
        </w:tc>
      </w:tr>
      <w:tr>
        <w:trPr/>
        <w:tc>
          <w:tcPr>
            <w:tcW w:w="3841" w:type="dxa"/>
            <w:tcBorders/>
            <w:vAlign w:val="center"/>
          </w:tcPr>
          <w:p>
            <w:pPr>
              <w:pStyle w:val="TableContents"/>
              <w:bidi w:val="0"/>
              <w:spacing w:before="0" w:after="1"/>
              <w:jc w:val="center"/>
              <w:rPr/>
            </w:pPr>
            <w:r>
              <w:rPr/>
              <w:t xml:space="preserve">  </w:t>
            </w:r>
          </w:p>
        </w:tc>
        <w:tc>
          <w:tcPr>
            <w:tcW w:w="206" w:type="dxa"/>
            <w:tcBorders/>
            <w:vAlign w:val="center"/>
          </w:tcPr>
          <w:p>
            <w:pPr>
              <w:pStyle w:val="TableContents"/>
              <w:bidi w:val="0"/>
              <w:spacing w:before="0" w:after="1"/>
              <w:jc w:val="center"/>
              <w:rPr/>
            </w:pPr>
            <w:r>
              <w:rPr/>
              <w:t xml:space="preserve">  </w:t>
            </w:r>
          </w:p>
        </w:tc>
        <w:tc>
          <w:tcPr>
            <w:tcW w:w="4809" w:type="dxa"/>
            <w:gridSpan w:val="9"/>
            <w:tcBorders/>
            <w:vAlign w:val="center"/>
          </w:tcPr>
          <w:p>
            <w:pPr>
              <w:pStyle w:val="TableContents"/>
              <w:bidi w:val="0"/>
              <w:spacing w:before="0" w:after="1"/>
              <w:jc w:val="center"/>
              <w:rPr/>
            </w:pPr>
            <w:r>
              <w:rPr>
                <w:rFonts w:ascii="Times New Roman" w:hAnsi="Times New Roman"/>
                <w:color w:val="000000"/>
                <w:sz w:val="18"/>
              </w:rPr>
              <w:t>(In thousands)</w:t>
            </w:r>
            <w:r>
              <w:rPr/>
              <w:t xml:space="preserve"> </w:t>
            </w:r>
          </w:p>
        </w:tc>
      </w:tr>
      <w:tr>
        <w:trPr/>
        <w:tc>
          <w:tcPr>
            <w:tcW w:w="3841" w:type="dxa"/>
            <w:tcBorders/>
            <w:vAlign w:val="center"/>
          </w:tcPr>
          <w:p>
            <w:pPr>
              <w:pStyle w:val="TableContents"/>
              <w:bidi w:val="0"/>
              <w:spacing w:before="0" w:after="1"/>
              <w:jc w:val="left"/>
              <w:rPr/>
            </w:pPr>
            <w:r>
              <w:rPr>
                <w:rFonts w:ascii="Times New Roman" w:hAnsi="Times New Roman"/>
                <w:color w:val="000000"/>
                <w:sz w:val="18"/>
              </w:rPr>
              <w:t>Investment Assets Under Management &amp; Advisory</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46" w:type="dxa"/>
            <w:tcBorders/>
            <w:vAlign w:val="center"/>
          </w:tcPr>
          <w:p>
            <w:pPr>
              <w:pStyle w:val="TableContents"/>
              <w:bidi w:val="0"/>
              <w:spacing w:before="0" w:after="1"/>
              <w:ind w:left="0" w:right="60" w:hanging="0"/>
              <w:jc w:val="right"/>
              <w:rPr/>
            </w:pPr>
            <w:r>
              <w:rPr>
                <w:rFonts w:ascii="Times New Roman" w:hAnsi="Times New Roman"/>
                <w:color w:val="000000"/>
                <w:sz w:val="18"/>
              </w:rPr>
              <w:t>941,351</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56.26%</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46" w:type="dxa"/>
            <w:tcBorders/>
            <w:vAlign w:val="center"/>
          </w:tcPr>
          <w:p>
            <w:pPr>
              <w:pStyle w:val="TableContents"/>
              <w:bidi w:val="0"/>
              <w:spacing w:before="0" w:after="1"/>
              <w:ind w:left="0" w:right="60" w:hanging="0"/>
              <w:jc w:val="right"/>
              <w:rPr/>
            </w:pPr>
            <w:r>
              <w:rPr>
                <w:rFonts w:ascii="Times New Roman" w:hAnsi="Times New Roman"/>
                <w:color w:val="000000"/>
                <w:sz w:val="18"/>
              </w:rPr>
              <w:t>1,184,317</w:t>
            </w:r>
            <w:r>
              <w:rPr/>
              <w:t xml:space="preserve"> </w:t>
            </w:r>
          </w:p>
        </w:tc>
        <w:tc>
          <w:tcPr>
            <w:tcW w:w="206" w:type="dxa"/>
            <w:tcBorders/>
            <w:vAlign w:val="center"/>
          </w:tcPr>
          <w:p>
            <w:pPr>
              <w:pStyle w:val="TableContents"/>
              <w:bidi w:val="0"/>
              <w:spacing w:before="0" w:after="1"/>
              <w:jc w:val="left"/>
              <w:rPr/>
            </w:pPr>
            <w:r>
              <w:rPr/>
              <w:t xml:space="preserve">  </w:t>
            </w:r>
          </w:p>
        </w:tc>
        <w:tc>
          <w:tcPr>
            <w:tcW w:w="916" w:type="dxa"/>
            <w:tcBorders/>
            <w:vAlign w:val="center"/>
          </w:tcPr>
          <w:p>
            <w:pPr>
              <w:pStyle w:val="TableContents"/>
              <w:bidi w:val="0"/>
              <w:spacing w:before="0" w:after="1"/>
              <w:ind w:left="0" w:right="60" w:hanging="0"/>
              <w:jc w:val="right"/>
              <w:rPr/>
            </w:pPr>
            <w:r>
              <w:rPr>
                <w:rFonts w:ascii="Times New Roman" w:hAnsi="Times New Roman"/>
                <w:color w:val="000000"/>
                <w:sz w:val="18"/>
              </w:rPr>
              <w:t>62.73%</w:t>
            </w:r>
            <w:r>
              <w:rPr/>
              <w:t xml:space="preserve"> </w:t>
            </w:r>
          </w:p>
        </w:tc>
      </w:tr>
      <w:tr>
        <w:trPr/>
        <w:tc>
          <w:tcPr>
            <w:tcW w:w="3841" w:type="dxa"/>
            <w:tcBorders/>
            <w:vAlign w:val="center"/>
          </w:tcPr>
          <w:p>
            <w:pPr>
              <w:pStyle w:val="TableContents"/>
              <w:bidi w:val="0"/>
              <w:spacing w:before="0" w:after="1"/>
              <w:jc w:val="left"/>
              <w:rPr/>
            </w:pPr>
            <w:r>
              <w:rPr>
                <w:rFonts w:ascii="Times New Roman" w:hAnsi="Times New Roman"/>
                <w:color w:val="000000"/>
                <w:sz w:val="18"/>
              </w:rPr>
              <w:t>Trust Asset Under Administration &amp; Management</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94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731,866</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43.74%</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94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703,544</w:t>
            </w:r>
            <w:r>
              <w:rPr/>
              <w:t xml:space="preserve"> </w:t>
            </w:r>
          </w:p>
        </w:tc>
        <w:tc>
          <w:tcPr>
            <w:tcW w:w="206" w:type="dxa"/>
            <w:tcBorders/>
            <w:vAlign w:val="center"/>
          </w:tcPr>
          <w:p>
            <w:pPr>
              <w:pStyle w:val="TableContents"/>
              <w:bidi w:val="0"/>
              <w:spacing w:before="0" w:after="1"/>
              <w:jc w:val="left"/>
              <w:rPr/>
            </w:pPr>
            <w:r>
              <w:rPr/>
              <w:t xml:space="preserve">  </w:t>
            </w:r>
          </w:p>
        </w:tc>
        <w:tc>
          <w:tcPr>
            <w:tcW w:w="91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37.27%</w:t>
            </w:r>
            <w:r>
              <w:rPr/>
              <w:t xml:space="preserve"> </w:t>
            </w:r>
          </w:p>
        </w:tc>
      </w:tr>
      <w:tr>
        <w:trPr/>
        <w:tc>
          <w:tcPr>
            <w:tcW w:w="384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Total </w:t>
            </w:r>
          </w:p>
        </w:tc>
        <w:tc>
          <w:tcPr>
            <w:tcW w:w="206" w:type="dxa"/>
            <w:tcBorders/>
            <w:vAlign w:val="center"/>
          </w:tcPr>
          <w:p>
            <w:pPr>
              <w:pStyle w:val="TableContents"/>
              <w:bidi w:val="0"/>
              <w:spacing w:before="0" w:after="1"/>
              <w:jc w:val="left"/>
              <w:rPr/>
            </w:pPr>
            <w:r>
              <w:rPr/>
              <w:t xml:space="preserve">  </w:t>
            </w:r>
          </w:p>
        </w:tc>
        <w:tc>
          <w:tcPr>
            <w:tcW w:w="256"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46"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1,673,217</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100.00%</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46"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1,887,861</w:t>
            </w:r>
            <w:r>
              <w:rPr/>
              <w:t xml:space="preserve"> </w:t>
            </w:r>
          </w:p>
        </w:tc>
        <w:tc>
          <w:tcPr>
            <w:tcW w:w="206" w:type="dxa"/>
            <w:tcBorders/>
            <w:vAlign w:val="center"/>
          </w:tcPr>
          <w:p>
            <w:pPr>
              <w:pStyle w:val="TableContents"/>
              <w:bidi w:val="0"/>
              <w:spacing w:before="0" w:after="1"/>
              <w:jc w:val="left"/>
              <w:rPr/>
            </w:pPr>
            <w:r>
              <w:rPr/>
              <w:t xml:space="preserve">  </w:t>
            </w:r>
          </w:p>
        </w:tc>
        <w:tc>
          <w:tcPr>
            <w:tcW w:w="916"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100.00%</w:t>
            </w:r>
            <w:r>
              <w:rPr/>
              <w:t xml:space="preserve"> </w:t>
            </w:r>
          </w:p>
        </w:tc>
      </w:tr>
    </w:tbl>
    <w:p>
      <w:pPr>
        <w:pStyle w:val="TextBody"/>
        <w:bidi w:val="0"/>
        <w:spacing w:before="0" w:after="60"/>
        <w:jc w:val="both"/>
        <w:rPr/>
      </w:pPr>
      <w:r>
        <w:rPr/>
        <w:t> </w:t>
      </w:r>
    </w:p>
    <w:p>
      <w:pPr>
        <w:pStyle w:val="TextBody"/>
        <w:bidi w:val="0"/>
        <w:spacing w:before="0" w:after="60"/>
        <w:jc w:val="both"/>
        <w:rPr/>
      </w:pPr>
      <w:r>
        <w:rPr>
          <w:rFonts w:ascii="Times New Roman" w:hAnsi="Times New Roman"/>
          <w:b/>
          <w:i/>
          <w:sz w:val="18"/>
        </w:rPr>
        <w:t>Loan Quality</w:t>
      </w:r>
      <w:r>
        <w:rPr/>
        <w:t xml:space="preserve"> </w:t>
      </w:r>
    </w:p>
    <w:p>
      <w:pPr>
        <w:pStyle w:val="TextBody"/>
        <w:bidi w:val="0"/>
        <w:spacing w:before="0" w:after="240"/>
        <w:jc w:val="both"/>
        <w:rPr/>
      </w:pPr>
      <w:r>
        <w:rPr>
          <w:rFonts w:ascii="Times New Roman" w:hAnsi="Times New Roman"/>
          <w:sz w:val="18"/>
        </w:rPr>
        <w:t>At June 30, 2026, the Bank had total non-performing loans of $22.2 million, or 1.16% of total loans. Total non-accrual loans represented $18.8 million of loans as of June 30, 2026, compared to $11.1 million at December 31, 2025. The increase in non-accrual loans was related primarily to a commercial real estate participation loan that experienced payment disruption during the first quarter of 2026 due to bankruptcy at the parent company, offset partially by settlement of a previously reported participation loan for an office complex. The settlement reduced non-performing loans by approximately $6.0 million during the second quarter of 2026. Total accruing loans 90 days or more past due represented $3.3 million of loans as of June 30, 2026, compared to $18 thousand at December 31, 2025. The increase in accruing loans 90 days or more past due was related primarily to a commercial real estate participation loan that experienced an administrative delay in the processing of an extension/modification during the second quarter of 2026 due to divorce proceedings and remains a performing loan and in accrual status at quarter-end.</w:t>
      </w:r>
      <w:r>
        <w:rPr/>
        <w:t xml:space="preserve"> </w:t>
      </w:r>
    </w:p>
    <w:p>
      <w:pPr>
        <w:pStyle w:val="TextBody"/>
        <w:bidi w:val="0"/>
        <w:spacing w:before="0" w:after="60"/>
        <w:jc w:val="both"/>
        <w:rPr/>
      </w:pPr>
      <w:r>
        <w:rPr>
          <w:rFonts w:ascii="Times New Roman" w:hAnsi="Times New Roman"/>
          <w:b/>
          <w:i/>
          <w:sz w:val="18"/>
        </w:rPr>
        <w:t>Liquidity</w:t>
      </w:r>
      <w:r>
        <w:rPr/>
        <w:t xml:space="preserve"> </w:t>
      </w:r>
    </w:p>
    <w:p>
      <w:pPr>
        <w:pStyle w:val="TextBody"/>
        <w:bidi w:val="0"/>
        <w:spacing w:before="0" w:after="120"/>
        <w:jc w:val="both"/>
        <w:rPr/>
      </w:pPr>
      <w:r>
        <w:rPr>
          <w:rFonts w:ascii="Times New Roman" w:hAnsi="Times New Roman"/>
          <w:sz w:val="18"/>
        </w:rPr>
        <w:t>Management believes the Bank has the necessary liquidity to meet normal business needs. The Bank uses a variety of resources to manage its liquidity position. These include short term investments, cash from lending and investing activities, core-deposit growth, and non-core funding sources, such as time deposits exceeding $250,000, brokered deposits, FHLBNY advances, and other borrowings. As of June 30, 2026, the Bank’s cash and due from banks totaled $334.9 million. The Bank maintains an investment portfolio of securities available for sale, comprised mainly of US Government agency and treasury securities, Small Business Administration loan pools, mortgage-backed securities, and municipal bonds. Although the portfolio generates interest income for the Bank, it also serves as an available source of liquidity and funding. As of June 30, 2026, the Bank’s investment in securities available for sale was $395.9 million, of which $78.6 million was not pledged as collateral or specifically designated to any borrowings. Additionally, as of June 30, 2026, the Bank’s overnight advance line capacity at the FHLBNY was $679.4 million, of which $72.4 million was used to collateralize municipal deposits and $10.0 million was utilized for long term advances. As of June 30, 2026, the Bank’s unused borrowing capacity at the FHLBNY was $597.0 million. The Bank also maintains additional borrowing capacity of $20 million with other correspondent banks. Additional funding is available to the Bank through the discount window at the Federal Reserve. The total amount of loans pledged to the Federal Reserve, between the Discount Window and the Borrower-In-Custody (“BIC”) program, was approximately $214.9 million at June 30, 2026. At June 30, 2026, the Bank was not utilizing any available funding from the Federal Reserve.</w:t>
      </w:r>
      <w:r>
        <w:rPr/>
        <w:t xml:space="preserve"> </w:t>
      </w:r>
    </w:p>
    <w:p>
      <w:pPr>
        <w:pStyle w:val="TextBody"/>
        <w:bidi w:val="0"/>
        <w:spacing w:before="0" w:after="240"/>
        <w:jc w:val="both"/>
        <w:rPr>
          <w:rFonts w:ascii="Times New Roman" w:hAnsi="Times New Roman"/>
          <w:sz w:val="18"/>
        </w:rPr>
      </w:pPr>
      <w:r>
        <w:rPr>
          <w:rFonts w:ascii="Times New Roman" w:hAnsi="Times New Roman"/>
          <w:sz w:val="18"/>
        </w:rPr>
        <w:t xml:space="preserve">The Bank also considers brokered deposits an element of its overall deposit strategy. As of June 30, 2026, the Bank did not have any brokered deposit arrangements with various terms under 30 days.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60"/>
        <w:jc w:val="both"/>
        <w:rPr/>
      </w:pPr>
      <w:r>
        <w:rPr>
          <w:rFonts w:ascii="Times New Roman" w:hAnsi="Times New Roman"/>
          <w:b/>
          <w:sz w:val="18"/>
        </w:rPr>
        <w:t>Non-GAAP Financial Measure Reconciliations</w:t>
      </w:r>
      <w:r>
        <w:rPr/>
        <w:t xml:space="preserve"> </w:t>
      </w:r>
    </w:p>
    <w:p>
      <w:pPr>
        <w:pStyle w:val="TextBody"/>
        <w:bidi w:val="0"/>
        <w:spacing w:before="0" w:after="60"/>
        <w:jc w:val="both"/>
        <w:rPr/>
      </w:pPr>
      <w:r>
        <w:rPr>
          <w:rFonts w:ascii="Times New Roman" w:hAnsi="Times New Roman"/>
          <w:sz w:val="18"/>
        </w:rPr>
        <w:t>The following table reconciles, as of the dates set forth below, stockholders’ equity (on a GAAP basis) to tangible equity and total assets (on GAAP basis) to tangible assets and calculates our tangible book value per share.</w:t>
      </w:r>
      <w:r>
        <w:rPr/>
        <w:t xml:space="preserve"> </w:t>
      </w:r>
    </w:p>
    <w:p>
      <w:pPr>
        <w:pStyle w:val="TextBody"/>
        <w:bidi w:val="0"/>
        <w:spacing w:before="0" w:after="60"/>
        <w:jc w:val="both"/>
        <w:rPr/>
      </w:pPr>
      <w:r>
        <w:rPr/>
        <w:t xml:space="preserve">  </w:t>
      </w:r>
    </w:p>
    <w:tbl>
      <w:tblPr>
        <w:tblW w:w="6955" w:type="dxa"/>
        <w:jc w:val="left"/>
        <w:tblInd w:w="0" w:type="dxa"/>
        <w:tblLayout w:type="fixed"/>
        <w:tblCellMar>
          <w:top w:w="28" w:type="dxa"/>
          <w:left w:w="28" w:type="dxa"/>
          <w:bottom w:w="28" w:type="dxa"/>
          <w:right w:w="28" w:type="dxa"/>
        </w:tblCellMar>
      </w:tblPr>
      <w:tblGrid>
        <w:gridCol w:w="3436"/>
        <w:gridCol w:w="206"/>
        <w:gridCol w:w="281"/>
        <w:gridCol w:w="1139"/>
        <w:gridCol w:w="424"/>
        <w:gridCol w:w="281"/>
        <w:gridCol w:w="1188"/>
      </w:tblGrid>
      <w:tr>
        <w:trPr/>
        <w:tc>
          <w:tcPr>
            <w:tcW w:w="3436"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t xml:space="preserve">  </w:t>
            </w:r>
          </w:p>
        </w:tc>
        <w:tc>
          <w:tcPr>
            <w:tcW w:w="1139" w:type="dxa"/>
            <w:tcBorders/>
            <w:vAlign w:val="center"/>
          </w:tcPr>
          <w:p>
            <w:pPr>
              <w:pStyle w:val="TableContents"/>
              <w:bidi w:val="0"/>
              <w:spacing w:before="0" w:after="1"/>
              <w:jc w:val="left"/>
              <w:rPr/>
            </w:pPr>
            <w:r>
              <w:rPr/>
              <w:t xml:space="preserve">  </w:t>
            </w:r>
          </w:p>
        </w:tc>
        <w:tc>
          <w:tcPr>
            <w:tcW w:w="424"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t xml:space="preserve">  </w:t>
            </w:r>
          </w:p>
        </w:tc>
        <w:tc>
          <w:tcPr>
            <w:tcW w:w="1188" w:type="dxa"/>
            <w:tcBorders/>
            <w:vAlign w:val="center"/>
          </w:tcPr>
          <w:p>
            <w:pPr>
              <w:pStyle w:val="TableContents"/>
              <w:bidi w:val="0"/>
              <w:spacing w:before="0" w:after="1"/>
              <w:jc w:val="left"/>
              <w:rPr/>
            </w:pPr>
            <w:r>
              <w:rPr/>
              <w:t xml:space="preserve">  </w:t>
            </w:r>
          </w:p>
        </w:tc>
      </w:tr>
      <w:tr>
        <w:trPr/>
        <w:tc>
          <w:tcPr>
            <w:tcW w:w="3436"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1420"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June 30,</w:t>
            </w:r>
            <w:r>
              <w:rPr/>
              <w:t xml:space="preserve"> </w:t>
            </w:r>
          </w:p>
        </w:tc>
        <w:tc>
          <w:tcPr>
            <w:tcW w:w="424" w:type="dxa"/>
            <w:tcBorders/>
            <w:vAlign w:val="center"/>
          </w:tcPr>
          <w:p>
            <w:pPr>
              <w:pStyle w:val="TableContents"/>
              <w:bidi w:val="0"/>
              <w:spacing w:before="0" w:after="1"/>
              <w:jc w:val="center"/>
              <w:rPr/>
            </w:pPr>
            <w:r>
              <w:rPr>
                <w:color w:val="000000"/>
              </w:rPr>
              <w:t>    </w:t>
            </w:r>
            <w:r>
              <w:rPr/>
              <w:t xml:space="preserve"> </w:t>
            </w:r>
          </w:p>
        </w:tc>
        <w:tc>
          <w:tcPr>
            <w:tcW w:w="1469"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December 31,</w:t>
            </w:r>
            <w:r>
              <w:rPr/>
              <w:t xml:space="preserve"> </w:t>
            </w:r>
          </w:p>
        </w:tc>
      </w:tr>
      <w:tr>
        <w:trPr/>
        <w:tc>
          <w:tcPr>
            <w:tcW w:w="3436"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1420"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2026</w:t>
            </w:r>
            <w:r>
              <w:rPr/>
              <w:t xml:space="preserve"> </w:t>
            </w:r>
          </w:p>
        </w:tc>
        <w:tc>
          <w:tcPr>
            <w:tcW w:w="424" w:type="dxa"/>
            <w:tcBorders/>
            <w:vAlign w:val="center"/>
          </w:tcPr>
          <w:p>
            <w:pPr>
              <w:pStyle w:val="TableContents"/>
              <w:bidi w:val="0"/>
              <w:spacing w:before="0" w:after="1"/>
              <w:jc w:val="center"/>
              <w:rPr/>
            </w:pPr>
            <w:r>
              <w:rPr/>
              <w:t xml:space="preserve">  </w:t>
            </w:r>
          </w:p>
        </w:tc>
        <w:tc>
          <w:tcPr>
            <w:tcW w:w="1469"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2025</w:t>
            </w:r>
            <w:r>
              <w:rPr/>
              <w:t xml:space="preserve"> </w:t>
            </w:r>
          </w:p>
        </w:tc>
      </w:tr>
      <w:tr>
        <w:trPr/>
        <w:tc>
          <w:tcPr>
            <w:tcW w:w="3436"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3313" w:type="dxa"/>
            <w:gridSpan w:val="5"/>
            <w:tcBorders/>
            <w:vAlign w:val="center"/>
          </w:tcPr>
          <w:p>
            <w:pPr>
              <w:pStyle w:val="TableContents"/>
              <w:bidi w:val="0"/>
              <w:spacing w:before="0" w:after="1"/>
              <w:jc w:val="center"/>
              <w:rPr/>
            </w:pPr>
            <w:r>
              <w:rPr>
                <w:rFonts w:ascii="Times New Roman" w:hAnsi="Times New Roman"/>
                <w:color w:val="000000"/>
                <w:sz w:val="18"/>
              </w:rPr>
              <w:t>(Dollars in thousands except per share data)</w:t>
            </w:r>
            <w:r>
              <w:rPr/>
              <w:t xml:space="preserve"> </w:t>
            </w:r>
          </w:p>
        </w:tc>
      </w:tr>
      <w:tr>
        <w:trPr/>
        <w:tc>
          <w:tcPr>
            <w:tcW w:w="3436" w:type="dxa"/>
            <w:tcBorders/>
            <w:vAlign w:val="center"/>
          </w:tcPr>
          <w:p>
            <w:pPr>
              <w:pStyle w:val="TableContents"/>
              <w:bidi w:val="0"/>
              <w:spacing w:before="0" w:after="1"/>
              <w:jc w:val="left"/>
              <w:rPr/>
            </w:pPr>
            <w:r>
              <w:rPr>
                <w:rFonts w:ascii="Times New Roman" w:hAnsi="Times New Roman"/>
                <w:b/>
                <w:color w:val="000000"/>
                <w:sz w:val="18"/>
              </w:rPr>
              <w:t>Tangible Common Equity:</w:t>
            </w:r>
            <w:r>
              <w:rPr/>
              <w:t xml:space="preserve"> </w:t>
            </w:r>
          </w:p>
        </w:tc>
        <w:tc>
          <w:tcPr>
            <w:tcW w:w="206"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t xml:space="preserve">  </w:t>
            </w:r>
          </w:p>
        </w:tc>
        <w:tc>
          <w:tcPr>
            <w:tcW w:w="1139" w:type="dxa"/>
            <w:tcBorders/>
            <w:vAlign w:val="center"/>
          </w:tcPr>
          <w:p>
            <w:pPr>
              <w:pStyle w:val="TableContents"/>
              <w:bidi w:val="0"/>
              <w:spacing w:before="0" w:after="1"/>
              <w:jc w:val="left"/>
              <w:rPr/>
            </w:pPr>
            <w:r>
              <w:rPr/>
              <w:t xml:space="preserve">  </w:t>
            </w:r>
          </w:p>
        </w:tc>
        <w:tc>
          <w:tcPr>
            <w:tcW w:w="424"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t xml:space="preserve">  </w:t>
            </w:r>
          </w:p>
        </w:tc>
        <w:tc>
          <w:tcPr>
            <w:tcW w:w="1188" w:type="dxa"/>
            <w:tcBorders/>
            <w:vAlign w:val="center"/>
          </w:tcPr>
          <w:p>
            <w:pPr>
              <w:pStyle w:val="TableContents"/>
              <w:bidi w:val="0"/>
              <w:spacing w:before="0" w:after="1"/>
              <w:jc w:val="left"/>
              <w:rPr/>
            </w:pPr>
            <w:r>
              <w:rPr/>
              <w:t xml:space="preserve">  </w:t>
            </w:r>
          </w:p>
        </w:tc>
      </w:tr>
      <w:tr>
        <w:trPr/>
        <w:tc>
          <w:tcPr>
            <w:tcW w:w="3436"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Total stockholders’ equity </w:t>
            </w:r>
          </w:p>
        </w:tc>
        <w:tc>
          <w:tcPr>
            <w:tcW w:w="206"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139" w:type="dxa"/>
            <w:tcBorders/>
            <w:vAlign w:val="center"/>
          </w:tcPr>
          <w:p>
            <w:pPr>
              <w:pStyle w:val="TableContents"/>
              <w:bidi w:val="0"/>
              <w:spacing w:before="0" w:after="1"/>
              <w:ind w:left="0" w:right="60" w:hanging="0"/>
              <w:jc w:val="right"/>
              <w:rPr/>
            </w:pPr>
            <w:r>
              <w:rPr>
                <w:rFonts w:ascii="Times New Roman" w:hAnsi="Times New Roman"/>
                <w:color w:val="000000"/>
                <w:sz w:val="18"/>
              </w:rPr>
              <w:t>306,628</w:t>
            </w:r>
            <w:r>
              <w:rPr/>
              <w:t xml:space="preserve"> </w:t>
            </w:r>
          </w:p>
        </w:tc>
        <w:tc>
          <w:tcPr>
            <w:tcW w:w="424"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188" w:type="dxa"/>
            <w:tcBorders/>
            <w:vAlign w:val="center"/>
          </w:tcPr>
          <w:p>
            <w:pPr>
              <w:pStyle w:val="TableContents"/>
              <w:bidi w:val="0"/>
              <w:spacing w:before="0" w:after="1"/>
              <w:ind w:left="0" w:right="60" w:hanging="0"/>
              <w:jc w:val="right"/>
              <w:rPr/>
            </w:pPr>
            <w:r>
              <w:rPr>
                <w:rFonts w:ascii="Times New Roman" w:hAnsi="Times New Roman"/>
                <w:color w:val="000000"/>
                <w:sz w:val="18"/>
              </w:rPr>
              <w:t>284,364</w:t>
            </w:r>
            <w:r>
              <w:rPr/>
              <w:t xml:space="preserve"> </w:t>
            </w:r>
          </w:p>
        </w:tc>
      </w:tr>
      <w:tr>
        <w:trPr/>
        <w:tc>
          <w:tcPr>
            <w:tcW w:w="3436" w:type="dxa"/>
            <w:tcBorders/>
            <w:vAlign w:val="center"/>
          </w:tcPr>
          <w:p>
            <w:pPr>
              <w:pStyle w:val="TableContents"/>
              <w:bidi w:val="0"/>
              <w:spacing w:before="0" w:after="1"/>
              <w:jc w:val="left"/>
              <w:rPr/>
            </w:pPr>
            <w:r>
              <w:rPr>
                <w:rFonts w:ascii="Times New Roman" w:hAnsi="Times New Roman"/>
                <w:i/>
                <w:color w:val="000000"/>
                <w:sz w:val="18"/>
              </w:rPr>
              <w:t>Adjustments:</w:t>
            </w:r>
            <w:r>
              <w:rPr/>
              <w:t xml:space="preserve"> </w:t>
            </w:r>
          </w:p>
        </w:tc>
        <w:tc>
          <w:tcPr>
            <w:tcW w:w="206"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t xml:space="preserve">  </w:t>
            </w:r>
          </w:p>
        </w:tc>
        <w:tc>
          <w:tcPr>
            <w:tcW w:w="1139" w:type="dxa"/>
            <w:tcBorders/>
            <w:vAlign w:val="center"/>
          </w:tcPr>
          <w:p>
            <w:pPr>
              <w:pStyle w:val="TableContents"/>
              <w:bidi w:val="0"/>
              <w:spacing w:before="0" w:after="1"/>
              <w:jc w:val="left"/>
              <w:rPr/>
            </w:pPr>
            <w:r>
              <w:rPr/>
              <w:t xml:space="preserve">  </w:t>
            </w:r>
          </w:p>
        </w:tc>
        <w:tc>
          <w:tcPr>
            <w:tcW w:w="424"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t xml:space="preserve">  </w:t>
            </w:r>
          </w:p>
        </w:tc>
        <w:tc>
          <w:tcPr>
            <w:tcW w:w="1188" w:type="dxa"/>
            <w:tcBorders/>
            <w:vAlign w:val="center"/>
          </w:tcPr>
          <w:p>
            <w:pPr>
              <w:pStyle w:val="TableContents"/>
              <w:bidi w:val="0"/>
              <w:spacing w:before="0" w:after="1"/>
              <w:jc w:val="left"/>
              <w:rPr/>
            </w:pPr>
            <w:r>
              <w:rPr/>
              <w:t xml:space="preserve">  </w:t>
            </w:r>
          </w:p>
        </w:tc>
      </w:tr>
      <w:tr>
        <w:trPr/>
        <w:tc>
          <w:tcPr>
            <w:tcW w:w="3436" w:type="dxa"/>
            <w:tcBorders/>
            <w:vAlign w:val="center"/>
          </w:tcPr>
          <w:p>
            <w:pPr>
              <w:pStyle w:val="TableContents"/>
              <w:bidi w:val="0"/>
              <w:spacing w:before="0" w:after="1"/>
              <w:jc w:val="left"/>
              <w:rPr/>
            </w:pPr>
            <w:r>
              <w:rPr>
                <w:rFonts w:ascii="Times New Roman" w:hAnsi="Times New Roman"/>
                <w:color w:val="000000"/>
                <w:sz w:val="18"/>
              </w:rPr>
              <w:t>Goodwill</w:t>
            </w:r>
            <w:r>
              <w:rPr/>
              <w:t xml:space="preserve"> </w:t>
            </w:r>
          </w:p>
        </w:tc>
        <w:tc>
          <w:tcPr>
            <w:tcW w:w="206"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t xml:space="preserve">  </w:t>
            </w:r>
          </w:p>
        </w:tc>
        <w:tc>
          <w:tcPr>
            <w:tcW w:w="1139" w:type="dxa"/>
            <w:tcBorders/>
            <w:vAlign w:val="center"/>
          </w:tcPr>
          <w:p>
            <w:pPr>
              <w:pStyle w:val="TableContents"/>
              <w:bidi w:val="0"/>
              <w:spacing w:before="0" w:after="1"/>
              <w:jc w:val="right"/>
              <w:rPr/>
            </w:pPr>
            <w:r>
              <w:rPr>
                <w:rFonts w:ascii="Times New Roman" w:hAnsi="Times New Roman"/>
                <w:color w:val="000000"/>
                <w:sz w:val="18"/>
              </w:rPr>
              <w:t>(5,359)</w:t>
            </w:r>
            <w:r>
              <w:rPr/>
              <w:t xml:space="preserve"> </w:t>
            </w:r>
          </w:p>
        </w:tc>
        <w:tc>
          <w:tcPr>
            <w:tcW w:w="424"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t xml:space="preserve">  </w:t>
            </w:r>
          </w:p>
        </w:tc>
        <w:tc>
          <w:tcPr>
            <w:tcW w:w="1188" w:type="dxa"/>
            <w:tcBorders/>
            <w:vAlign w:val="center"/>
          </w:tcPr>
          <w:p>
            <w:pPr>
              <w:pStyle w:val="TableContents"/>
              <w:bidi w:val="0"/>
              <w:spacing w:before="0" w:after="1"/>
              <w:jc w:val="right"/>
              <w:rPr/>
            </w:pPr>
            <w:r>
              <w:rPr>
                <w:rFonts w:ascii="Times New Roman" w:hAnsi="Times New Roman"/>
                <w:color w:val="000000"/>
                <w:sz w:val="18"/>
              </w:rPr>
              <w:t>(5,359)</w:t>
            </w:r>
            <w:r>
              <w:rPr/>
              <w:t xml:space="preserve"> </w:t>
            </w:r>
          </w:p>
        </w:tc>
      </w:tr>
      <w:tr>
        <w:trPr/>
        <w:tc>
          <w:tcPr>
            <w:tcW w:w="3436"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Other intangible assets </w:t>
            </w:r>
          </w:p>
        </w:tc>
        <w:tc>
          <w:tcPr>
            <w:tcW w:w="206" w:type="dxa"/>
            <w:tcBorders/>
            <w:vAlign w:val="center"/>
          </w:tcPr>
          <w:p>
            <w:pPr>
              <w:pStyle w:val="TableContents"/>
              <w:bidi w:val="0"/>
              <w:spacing w:before="0" w:after="1"/>
              <w:jc w:val="left"/>
              <w:rPr/>
            </w:pPr>
            <w:r>
              <w:rPr/>
              <w:t xml:space="preserve">  </w:t>
            </w:r>
          </w:p>
        </w:tc>
        <w:tc>
          <w:tcPr>
            <w:tcW w:w="281"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1139" w:type="dxa"/>
            <w:tcBorders>
              <w:bottom w:val="single" w:sz="8" w:space="0" w:color="000000"/>
            </w:tcBorders>
            <w:tcMar>
              <w:top w:w="0" w:type="dxa"/>
              <w:left w:w="0" w:type="dxa"/>
              <w:right w:w="0" w:type="dxa"/>
            </w:tcMar>
            <w:vAlign w:val="center"/>
          </w:tcPr>
          <w:p>
            <w:pPr>
              <w:pStyle w:val="TableContents"/>
              <w:bidi w:val="0"/>
              <w:spacing w:before="0" w:after="1"/>
              <w:jc w:val="right"/>
              <w:rPr/>
            </w:pPr>
            <w:r>
              <w:rPr>
                <w:rFonts w:ascii="Times New Roman" w:hAnsi="Times New Roman"/>
                <w:color w:val="000000"/>
                <w:sz w:val="18"/>
              </w:rPr>
              <w:t>(393)</w:t>
            </w:r>
            <w:r>
              <w:rPr/>
              <w:t xml:space="preserve"> </w:t>
            </w:r>
          </w:p>
        </w:tc>
        <w:tc>
          <w:tcPr>
            <w:tcW w:w="424" w:type="dxa"/>
            <w:tcBorders/>
            <w:vAlign w:val="center"/>
          </w:tcPr>
          <w:p>
            <w:pPr>
              <w:pStyle w:val="TableContents"/>
              <w:bidi w:val="0"/>
              <w:spacing w:before="0" w:after="1"/>
              <w:jc w:val="left"/>
              <w:rPr/>
            </w:pPr>
            <w:r>
              <w:rPr/>
              <w:t xml:space="preserve">  </w:t>
            </w:r>
          </w:p>
        </w:tc>
        <w:tc>
          <w:tcPr>
            <w:tcW w:w="281"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1188" w:type="dxa"/>
            <w:tcBorders>
              <w:bottom w:val="single" w:sz="8" w:space="0" w:color="000000"/>
            </w:tcBorders>
            <w:tcMar>
              <w:top w:w="0" w:type="dxa"/>
              <w:left w:w="0" w:type="dxa"/>
              <w:right w:w="0" w:type="dxa"/>
            </w:tcMar>
            <w:vAlign w:val="center"/>
          </w:tcPr>
          <w:p>
            <w:pPr>
              <w:pStyle w:val="TableContents"/>
              <w:bidi w:val="0"/>
              <w:spacing w:before="0" w:after="1"/>
              <w:jc w:val="right"/>
              <w:rPr/>
            </w:pPr>
            <w:r>
              <w:rPr>
                <w:rFonts w:ascii="Times New Roman" w:hAnsi="Times New Roman"/>
                <w:color w:val="000000"/>
                <w:sz w:val="18"/>
              </w:rPr>
              <w:t>(535)</w:t>
            </w:r>
            <w:r>
              <w:rPr/>
              <w:t xml:space="preserve"> </w:t>
            </w:r>
          </w:p>
        </w:tc>
      </w:tr>
      <w:tr>
        <w:trPr/>
        <w:tc>
          <w:tcPr>
            <w:tcW w:w="3436" w:type="dxa"/>
            <w:tcBorders/>
            <w:vAlign w:val="center"/>
          </w:tcPr>
          <w:p>
            <w:pPr>
              <w:pStyle w:val="TableContents"/>
              <w:bidi w:val="0"/>
              <w:spacing w:before="0" w:after="1"/>
              <w:jc w:val="left"/>
              <w:rPr>
                <w:rFonts w:ascii="Times New Roman" w:hAnsi="Times New Roman"/>
                <w:b/>
                <w:color w:val="000000"/>
                <w:sz w:val="18"/>
              </w:rPr>
            </w:pPr>
            <w:r>
              <w:rPr>
                <w:rFonts w:ascii="Times New Roman" w:hAnsi="Times New Roman"/>
                <w:b/>
                <w:color w:val="000000"/>
                <w:sz w:val="18"/>
              </w:rPr>
              <w:t xml:space="preserve">Tangible common equity </w:t>
            </w:r>
          </w:p>
        </w:tc>
        <w:tc>
          <w:tcPr>
            <w:tcW w:w="206"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139" w:type="dxa"/>
            <w:tcBorders/>
            <w:vAlign w:val="center"/>
          </w:tcPr>
          <w:p>
            <w:pPr>
              <w:pStyle w:val="TableContents"/>
              <w:bidi w:val="0"/>
              <w:spacing w:before="0" w:after="1"/>
              <w:ind w:left="0" w:right="60" w:hanging="0"/>
              <w:jc w:val="right"/>
              <w:rPr/>
            </w:pPr>
            <w:r>
              <w:rPr>
                <w:rFonts w:ascii="Times New Roman" w:hAnsi="Times New Roman"/>
                <w:color w:val="000000"/>
                <w:sz w:val="18"/>
              </w:rPr>
              <w:t>300,876</w:t>
            </w:r>
            <w:r>
              <w:rPr/>
              <w:t xml:space="preserve"> </w:t>
            </w:r>
          </w:p>
        </w:tc>
        <w:tc>
          <w:tcPr>
            <w:tcW w:w="424"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188" w:type="dxa"/>
            <w:tcBorders/>
            <w:vAlign w:val="center"/>
          </w:tcPr>
          <w:p>
            <w:pPr>
              <w:pStyle w:val="TableContents"/>
              <w:bidi w:val="0"/>
              <w:spacing w:before="0" w:after="1"/>
              <w:ind w:left="0" w:right="60" w:hanging="0"/>
              <w:jc w:val="right"/>
              <w:rPr/>
            </w:pPr>
            <w:r>
              <w:rPr>
                <w:rFonts w:ascii="Times New Roman" w:hAnsi="Times New Roman"/>
                <w:color w:val="000000"/>
                <w:sz w:val="18"/>
              </w:rPr>
              <w:t>278,470</w:t>
            </w:r>
            <w:r>
              <w:rPr/>
              <w:t xml:space="preserve"> </w:t>
            </w:r>
          </w:p>
        </w:tc>
      </w:tr>
      <w:tr>
        <w:trPr/>
        <w:tc>
          <w:tcPr>
            <w:tcW w:w="3436"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t xml:space="preserve">  </w:t>
            </w:r>
          </w:p>
        </w:tc>
        <w:tc>
          <w:tcPr>
            <w:tcW w:w="1139" w:type="dxa"/>
            <w:tcBorders/>
            <w:vAlign w:val="center"/>
          </w:tcPr>
          <w:p>
            <w:pPr>
              <w:pStyle w:val="TableContents"/>
              <w:bidi w:val="0"/>
              <w:spacing w:before="0" w:after="1"/>
              <w:jc w:val="left"/>
              <w:rPr/>
            </w:pPr>
            <w:r>
              <w:rPr/>
              <w:t xml:space="preserve">  </w:t>
            </w:r>
          </w:p>
        </w:tc>
        <w:tc>
          <w:tcPr>
            <w:tcW w:w="424"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t xml:space="preserve">  </w:t>
            </w:r>
          </w:p>
        </w:tc>
        <w:tc>
          <w:tcPr>
            <w:tcW w:w="1188" w:type="dxa"/>
            <w:tcBorders/>
            <w:vAlign w:val="center"/>
          </w:tcPr>
          <w:p>
            <w:pPr>
              <w:pStyle w:val="TableContents"/>
              <w:bidi w:val="0"/>
              <w:spacing w:before="0" w:after="1"/>
              <w:jc w:val="left"/>
              <w:rPr/>
            </w:pPr>
            <w:r>
              <w:rPr/>
              <w:t xml:space="preserve">  </w:t>
            </w:r>
          </w:p>
        </w:tc>
      </w:tr>
      <w:tr>
        <w:trPr/>
        <w:tc>
          <w:tcPr>
            <w:tcW w:w="3436" w:type="dxa"/>
            <w:tcBorders/>
            <w:vAlign w:val="center"/>
          </w:tcPr>
          <w:p>
            <w:pPr>
              <w:pStyle w:val="TableContents"/>
              <w:bidi w:val="0"/>
              <w:spacing w:before="0" w:after="1"/>
              <w:jc w:val="left"/>
              <w:rPr/>
            </w:pPr>
            <w:r>
              <w:rPr>
                <w:rFonts w:ascii="Times New Roman" w:hAnsi="Times New Roman"/>
                <w:color w:val="000000"/>
                <w:sz w:val="18"/>
              </w:rPr>
              <w:t>Common shares outstanding</w:t>
            </w:r>
            <w:r>
              <w:rPr/>
              <w:t xml:space="preserve"> </w:t>
            </w:r>
          </w:p>
        </w:tc>
        <w:tc>
          <w:tcPr>
            <w:tcW w:w="206"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t xml:space="preserve">  </w:t>
            </w:r>
          </w:p>
        </w:tc>
        <w:tc>
          <w:tcPr>
            <w:tcW w:w="1139" w:type="dxa"/>
            <w:tcBorders/>
            <w:vAlign w:val="center"/>
          </w:tcPr>
          <w:p>
            <w:pPr>
              <w:pStyle w:val="TableContents"/>
              <w:bidi w:val="0"/>
              <w:spacing w:before="0" w:after="1"/>
              <w:ind w:left="0" w:right="60" w:hanging="0"/>
              <w:jc w:val="right"/>
              <w:rPr/>
            </w:pPr>
            <w:r>
              <w:rPr>
                <w:rFonts w:ascii="Times New Roman" w:hAnsi="Times New Roman"/>
                <w:color w:val="000000"/>
                <w:sz w:val="18"/>
              </w:rPr>
              <w:t>13,407,904</w:t>
            </w:r>
            <w:r>
              <w:rPr/>
              <w:t xml:space="preserve"> </w:t>
            </w:r>
          </w:p>
        </w:tc>
        <w:tc>
          <w:tcPr>
            <w:tcW w:w="424"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t xml:space="preserve">  </w:t>
            </w:r>
          </w:p>
        </w:tc>
        <w:tc>
          <w:tcPr>
            <w:tcW w:w="1188" w:type="dxa"/>
            <w:tcBorders/>
            <w:vAlign w:val="center"/>
          </w:tcPr>
          <w:p>
            <w:pPr>
              <w:pStyle w:val="TableContents"/>
              <w:bidi w:val="0"/>
              <w:spacing w:before="0" w:after="1"/>
              <w:ind w:left="0" w:right="60" w:hanging="0"/>
              <w:jc w:val="right"/>
              <w:rPr/>
            </w:pPr>
            <w:r>
              <w:rPr>
                <w:rFonts w:ascii="Times New Roman" w:hAnsi="Times New Roman"/>
                <w:color w:val="000000"/>
                <w:sz w:val="18"/>
              </w:rPr>
              <w:t>13,368,447</w:t>
            </w:r>
            <w:r>
              <w:rPr/>
              <w:t xml:space="preserve"> </w:t>
            </w:r>
          </w:p>
        </w:tc>
      </w:tr>
      <w:tr>
        <w:trPr/>
        <w:tc>
          <w:tcPr>
            <w:tcW w:w="3436" w:type="dxa"/>
            <w:tcBorders/>
            <w:vAlign w:val="center"/>
          </w:tcPr>
          <w:p>
            <w:pPr>
              <w:pStyle w:val="TableContents"/>
              <w:bidi w:val="0"/>
              <w:spacing w:before="0" w:after="1"/>
              <w:jc w:val="left"/>
              <w:rPr/>
            </w:pPr>
            <w:r>
              <w:rPr>
                <w:rFonts w:ascii="Times New Roman" w:hAnsi="Times New Roman"/>
                <w:color w:val="000000"/>
                <w:sz w:val="18"/>
              </w:rPr>
              <w:t>Book value per common share</w:t>
            </w:r>
            <w:r>
              <w:rPr/>
              <w:t xml:space="preserve"> </w:t>
            </w:r>
          </w:p>
        </w:tc>
        <w:tc>
          <w:tcPr>
            <w:tcW w:w="206"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139" w:type="dxa"/>
            <w:tcBorders/>
            <w:vAlign w:val="center"/>
          </w:tcPr>
          <w:p>
            <w:pPr>
              <w:pStyle w:val="TableContents"/>
              <w:bidi w:val="0"/>
              <w:spacing w:before="0" w:after="1"/>
              <w:ind w:left="0" w:right="60" w:hanging="0"/>
              <w:jc w:val="right"/>
              <w:rPr/>
            </w:pPr>
            <w:r>
              <w:rPr>
                <w:rFonts w:ascii="Times New Roman" w:hAnsi="Times New Roman"/>
                <w:color w:val="000000"/>
                <w:sz w:val="18"/>
              </w:rPr>
              <w:t>22.87</w:t>
            </w:r>
            <w:r>
              <w:rPr/>
              <w:t xml:space="preserve"> </w:t>
            </w:r>
          </w:p>
        </w:tc>
        <w:tc>
          <w:tcPr>
            <w:tcW w:w="424"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188" w:type="dxa"/>
            <w:tcBorders/>
            <w:vAlign w:val="center"/>
          </w:tcPr>
          <w:p>
            <w:pPr>
              <w:pStyle w:val="TableContents"/>
              <w:bidi w:val="0"/>
              <w:spacing w:before="0" w:after="1"/>
              <w:ind w:left="0" w:right="60" w:hanging="0"/>
              <w:jc w:val="right"/>
              <w:rPr/>
            </w:pPr>
            <w:r>
              <w:rPr>
                <w:rFonts w:ascii="Times New Roman" w:hAnsi="Times New Roman"/>
                <w:color w:val="000000"/>
                <w:sz w:val="18"/>
              </w:rPr>
              <w:t>21.27</w:t>
            </w:r>
            <w:r>
              <w:rPr/>
              <w:t xml:space="preserve"> </w:t>
            </w:r>
          </w:p>
        </w:tc>
      </w:tr>
      <w:tr>
        <w:trPr/>
        <w:tc>
          <w:tcPr>
            <w:tcW w:w="3436" w:type="dxa"/>
            <w:tcBorders/>
            <w:vAlign w:val="center"/>
          </w:tcPr>
          <w:p>
            <w:pPr>
              <w:pStyle w:val="TableContents"/>
              <w:bidi w:val="0"/>
              <w:spacing w:before="0" w:after="1"/>
              <w:jc w:val="left"/>
              <w:rPr/>
            </w:pPr>
            <w:r>
              <w:rPr>
                <w:rFonts w:ascii="Times New Roman" w:hAnsi="Times New Roman"/>
                <w:b/>
                <w:color w:val="000000"/>
                <w:sz w:val="18"/>
              </w:rPr>
              <w:t>Tangible book value per common share</w:t>
            </w:r>
            <w:r>
              <w:rPr/>
              <w:t xml:space="preserve"> </w:t>
            </w:r>
          </w:p>
        </w:tc>
        <w:tc>
          <w:tcPr>
            <w:tcW w:w="206"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139" w:type="dxa"/>
            <w:tcBorders/>
            <w:vAlign w:val="center"/>
          </w:tcPr>
          <w:p>
            <w:pPr>
              <w:pStyle w:val="TableContents"/>
              <w:bidi w:val="0"/>
              <w:spacing w:before="0" w:after="1"/>
              <w:ind w:left="0" w:right="60" w:hanging="0"/>
              <w:jc w:val="right"/>
              <w:rPr/>
            </w:pPr>
            <w:r>
              <w:rPr>
                <w:rFonts w:ascii="Times New Roman" w:hAnsi="Times New Roman"/>
                <w:color w:val="000000"/>
                <w:sz w:val="18"/>
              </w:rPr>
              <w:t>22.44</w:t>
            </w:r>
            <w:r>
              <w:rPr/>
              <w:t xml:space="preserve"> </w:t>
            </w:r>
          </w:p>
        </w:tc>
        <w:tc>
          <w:tcPr>
            <w:tcW w:w="424"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188" w:type="dxa"/>
            <w:tcBorders/>
            <w:vAlign w:val="center"/>
          </w:tcPr>
          <w:p>
            <w:pPr>
              <w:pStyle w:val="TableContents"/>
              <w:bidi w:val="0"/>
              <w:spacing w:before="0" w:after="1"/>
              <w:ind w:left="0" w:right="60" w:hanging="0"/>
              <w:jc w:val="right"/>
              <w:rPr/>
            </w:pPr>
            <w:r>
              <w:rPr>
                <w:rFonts w:ascii="Times New Roman" w:hAnsi="Times New Roman"/>
                <w:color w:val="000000"/>
                <w:sz w:val="18"/>
              </w:rPr>
              <w:t>20.83</w:t>
            </w:r>
            <w:r>
              <w:rPr/>
              <w:t xml:space="preserve"> </w:t>
            </w:r>
          </w:p>
        </w:tc>
      </w:tr>
      <w:tr>
        <w:trPr/>
        <w:tc>
          <w:tcPr>
            <w:tcW w:w="3436"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t xml:space="preserve">  </w:t>
            </w:r>
          </w:p>
        </w:tc>
        <w:tc>
          <w:tcPr>
            <w:tcW w:w="1139" w:type="dxa"/>
            <w:tcBorders/>
            <w:vAlign w:val="center"/>
          </w:tcPr>
          <w:p>
            <w:pPr>
              <w:pStyle w:val="TableContents"/>
              <w:bidi w:val="0"/>
              <w:spacing w:before="0" w:after="1"/>
              <w:jc w:val="left"/>
              <w:rPr/>
            </w:pPr>
            <w:r>
              <w:rPr/>
              <w:t xml:space="preserve">  </w:t>
            </w:r>
          </w:p>
        </w:tc>
        <w:tc>
          <w:tcPr>
            <w:tcW w:w="424"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t xml:space="preserve">  </w:t>
            </w:r>
          </w:p>
        </w:tc>
        <w:tc>
          <w:tcPr>
            <w:tcW w:w="1188" w:type="dxa"/>
            <w:tcBorders/>
            <w:vAlign w:val="center"/>
          </w:tcPr>
          <w:p>
            <w:pPr>
              <w:pStyle w:val="TableContents"/>
              <w:bidi w:val="0"/>
              <w:spacing w:before="0" w:after="1"/>
              <w:jc w:val="left"/>
              <w:rPr/>
            </w:pPr>
            <w:r>
              <w:rPr/>
              <w:t xml:space="preserve">  </w:t>
            </w:r>
          </w:p>
        </w:tc>
      </w:tr>
      <w:tr>
        <w:trPr/>
        <w:tc>
          <w:tcPr>
            <w:tcW w:w="3436" w:type="dxa"/>
            <w:tcBorders/>
            <w:vAlign w:val="center"/>
          </w:tcPr>
          <w:p>
            <w:pPr>
              <w:pStyle w:val="TableContents"/>
              <w:bidi w:val="0"/>
              <w:spacing w:before="0" w:after="1"/>
              <w:jc w:val="left"/>
              <w:rPr/>
            </w:pPr>
            <w:r>
              <w:rPr>
                <w:rFonts w:ascii="Times New Roman" w:hAnsi="Times New Roman"/>
                <w:b/>
                <w:color w:val="000000"/>
                <w:sz w:val="18"/>
              </w:rPr>
              <w:t>Tangible Assets</w:t>
            </w:r>
            <w:r>
              <w:rPr/>
              <w:t xml:space="preserve"> </w:t>
            </w:r>
          </w:p>
        </w:tc>
        <w:tc>
          <w:tcPr>
            <w:tcW w:w="206"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t xml:space="preserve">  </w:t>
            </w:r>
          </w:p>
        </w:tc>
        <w:tc>
          <w:tcPr>
            <w:tcW w:w="1139" w:type="dxa"/>
            <w:tcBorders/>
            <w:vAlign w:val="center"/>
          </w:tcPr>
          <w:p>
            <w:pPr>
              <w:pStyle w:val="TableContents"/>
              <w:bidi w:val="0"/>
              <w:spacing w:before="0" w:after="1"/>
              <w:jc w:val="left"/>
              <w:rPr/>
            </w:pPr>
            <w:r>
              <w:rPr/>
              <w:t xml:space="preserve">  </w:t>
            </w:r>
          </w:p>
        </w:tc>
        <w:tc>
          <w:tcPr>
            <w:tcW w:w="424"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t xml:space="preserve">  </w:t>
            </w:r>
          </w:p>
        </w:tc>
        <w:tc>
          <w:tcPr>
            <w:tcW w:w="1188" w:type="dxa"/>
            <w:tcBorders/>
            <w:vAlign w:val="center"/>
          </w:tcPr>
          <w:p>
            <w:pPr>
              <w:pStyle w:val="TableContents"/>
              <w:bidi w:val="0"/>
              <w:spacing w:before="0" w:after="1"/>
              <w:jc w:val="left"/>
              <w:rPr/>
            </w:pPr>
            <w:r>
              <w:rPr/>
              <w:t xml:space="preserve">  </w:t>
            </w:r>
          </w:p>
        </w:tc>
      </w:tr>
      <w:tr>
        <w:trPr/>
        <w:tc>
          <w:tcPr>
            <w:tcW w:w="3436"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Total assets </w:t>
            </w:r>
          </w:p>
        </w:tc>
        <w:tc>
          <w:tcPr>
            <w:tcW w:w="206"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139" w:type="dxa"/>
            <w:tcBorders/>
            <w:vAlign w:val="center"/>
          </w:tcPr>
          <w:p>
            <w:pPr>
              <w:pStyle w:val="TableContents"/>
              <w:bidi w:val="0"/>
              <w:spacing w:before="0" w:after="1"/>
              <w:ind w:left="0" w:right="60" w:hanging="0"/>
              <w:jc w:val="right"/>
              <w:rPr/>
            </w:pPr>
            <w:r>
              <w:rPr>
                <w:rFonts w:ascii="Times New Roman" w:hAnsi="Times New Roman"/>
                <w:color w:val="000000"/>
                <w:sz w:val="18"/>
              </w:rPr>
              <w:t>2,800,371</w:t>
            </w:r>
            <w:r>
              <w:rPr/>
              <w:t xml:space="preserve"> </w:t>
            </w:r>
          </w:p>
        </w:tc>
        <w:tc>
          <w:tcPr>
            <w:tcW w:w="424"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188" w:type="dxa"/>
            <w:tcBorders/>
            <w:vAlign w:val="center"/>
          </w:tcPr>
          <w:p>
            <w:pPr>
              <w:pStyle w:val="TableContents"/>
              <w:bidi w:val="0"/>
              <w:spacing w:before="0" w:after="1"/>
              <w:ind w:left="0" w:right="60" w:hanging="0"/>
              <w:jc w:val="right"/>
              <w:rPr/>
            </w:pPr>
            <w:r>
              <w:rPr>
                <w:rFonts w:ascii="Times New Roman" w:hAnsi="Times New Roman"/>
                <w:color w:val="000000"/>
                <w:sz w:val="18"/>
              </w:rPr>
              <w:t>2,659,377</w:t>
            </w:r>
            <w:r>
              <w:rPr/>
              <w:t xml:space="preserve"> </w:t>
            </w:r>
          </w:p>
        </w:tc>
      </w:tr>
      <w:tr>
        <w:trPr/>
        <w:tc>
          <w:tcPr>
            <w:tcW w:w="3436" w:type="dxa"/>
            <w:tcBorders/>
            <w:vAlign w:val="center"/>
          </w:tcPr>
          <w:p>
            <w:pPr>
              <w:pStyle w:val="TableContents"/>
              <w:bidi w:val="0"/>
              <w:spacing w:before="0" w:after="1"/>
              <w:jc w:val="left"/>
              <w:rPr/>
            </w:pPr>
            <w:r>
              <w:rPr>
                <w:rFonts w:ascii="Times New Roman" w:hAnsi="Times New Roman"/>
                <w:i/>
                <w:color w:val="000000"/>
                <w:sz w:val="18"/>
              </w:rPr>
              <w:t>Adjustments:</w:t>
            </w:r>
            <w:r>
              <w:rPr/>
              <w:t xml:space="preserve"> </w:t>
            </w:r>
          </w:p>
        </w:tc>
        <w:tc>
          <w:tcPr>
            <w:tcW w:w="206"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t xml:space="preserve">  </w:t>
            </w:r>
          </w:p>
        </w:tc>
        <w:tc>
          <w:tcPr>
            <w:tcW w:w="1139" w:type="dxa"/>
            <w:tcBorders/>
            <w:vAlign w:val="center"/>
          </w:tcPr>
          <w:p>
            <w:pPr>
              <w:pStyle w:val="TableContents"/>
              <w:bidi w:val="0"/>
              <w:spacing w:before="0" w:after="1"/>
              <w:jc w:val="left"/>
              <w:rPr/>
            </w:pPr>
            <w:r>
              <w:rPr/>
              <w:t xml:space="preserve">  </w:t>
            </w:r>
          </w:p>
        </w:tc>
        <w:tc>
          <w:tcPr>
            <w:tcW w:w="424"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t xml:space="preserve">  </w:t>
            </w:r>
          </w:p>
        </w:tc>
        <w:tc>
          <w:tcPr>
            <w:tcW w:w="1188" w:type="dxa"/>
            <w:tcBorders/>
            <w:vAlign w:val="center"/>
          </w:tcPr>
          <w:p>
            <w:pPr>
              <w:pStyle w:val="TableContents"/>
              <w:bidi w:val="0"/>
              <w:spacing w:before="0" w:after="1"/>
              <w:jc w:val="left"/>
              <w:rPr/>
            </w:pPr>
            <w:r>
              <w:rPr/>
              <w:t xml:space="preserve">  </w:t>
            </w:r>
          </w:p>
        </w:tc>
      </w:tr>
      <w:tr>
        <w:trPr/>
        <w:tc>
          <w:tcPr>
            <w:tcW w:w="3436" w:type="dxa"/>
            <w:tcBorders/>
            <w:vAlign w:val="center"/>
          </w:tcPr>
          <w:p>
            <w:pPr>
              <w:pStyle w:val="TableContents"/>
              <w:bidi w:val="0"/>
              <w:spacing w:before="0" w:after="1"/>
              <w:jc w:val="left"/>
              <w:rPr/>
            </w:pPr>
            <w:r>
              <w:rPr>
                <w:rFonts w:ascii="Times New Roman" w:hAnsi="Times New Roman"/>
                <w:color w:val="000000"/>
                <w:sz w:val="18"/>
              </w:rPr>
              <w:t>Goodwill</w:t>
            </w:r>
            <w:r>
              <w:rPr/>
              <w:t xml:space="preserve"> </w:t>
            </w:r>
          </w:p>
        </w:tc>
        <w:tc>
          <w:tcPr>
            <w:tcW w:w="206"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t xml:space="preserve">  </w:t>
            </w:r>
          </w:p>
        </w:tc>
        <w:tc>
          <w:tcPr>
            <w:tcW w:w="1139" w:type="dxa"/>
            <w:tcBorders/>
            <w:vAlign w:val="center"/>
          </w:tcPr>
          <w:p>
            <w:pPr>
              <w:pStyle w:val="TableContents"/>
              <w:bidi w:val="0"/>
              <w:spacing w:before="0" w:after="1"/>
              <w:jc w:val="right"/>
              <w:rPr/>
            </w:pPr>
            <w:r>
              <w:rPr>
                <w:rFonts w:ascii="Times New Roman" w:hAnsi="Times New Roman"/>
                <w:color w:val="000000"/>
                <w:sz w:val="18"/>
              </w:rPr>
              <w:t>(5,359)</w:t>
            </w:r>
            <w:r>
              <w:rPr/>
              <w:t xml:space="preserve"> </w:t>
            </w:r>
          </w:p>
        </w:tc>
        <w:tc>
          <w:tcPr>
            <w:tcW w:w="424"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t xml:space="preserve">  </w:t>
            </w:r>
          </w:p>
        </w:tc>
        <w:tc>
          <w:tcPr>
            <w:tcW w:w="1188" w:type="dxa"/>
            <w:tcBorders/>
            <w:vAlign w:val="center"/>
          </w:tcPr>
          <w:p>
            <w:pPr>
              <w:pStyle w:val="TableContents"/>
              <w:bidi w:val="0"/>
              <w:spacing w:before="0" w:after="1"/>
              <w:jc w:val="right"/>
              <w:rPr/>
            </w:pPr>
            <w:r>
              <w:rPr>
                <w:rFonts w:ascii="Times New Roman" w:hAnsi="Times New Roman"/>
                <w:color w:val="000000"/>
                <w:sz w:val="18"/>
              </w:rPr>
              <w:t>(5,359)</w:t>
            </w:r>
            <w:r>
              <w:rPr/>
              <w:t xml:space="preserve"> </w:t>
            </w:r>
          </w:p>
        </w:tc>
      </w:tr>
      <w:tr>
        <w:trPr/>
        <w:tc>
          <w:tcPr>
            <w:tcW w:w="3436" w:type="dxa"/>
            <w:tcBorders/>
            <w:vAlign w:val="center"/>
          </w:tcPr>
          <w:p>
            <w:pPr>
              <w:pStyle w:val="TableContents"/>
              <w:bidi w:val="0"/>
              <w:spacing w:before="0" w:after="1"/>
              <w:jc w:val="left"/>
              <w:rPr/>
            </w:pPr>
            <w:r>
              <w:rPr>
                <w:rFonts w:ascii="Times New Roman" w:hAnsi="Times New Roman"/>
                <w:color w:val="000000"/>
                <w:sz w:val="18"/>
              </w:rPr>
              <w:t>Other intangible assets</w:t>
            </w:r>
            <w:r>
              <w:rPr/>
              <w:t xml:space="preserve"> </w:t>
            </w:r>
          </w:p>
        </w:tc>
        <w:tc>
          <w:tcPr>
            <w:tcW w:w="206" w:type="dxa"/>
            <w:tcBorders/>
            <w:vAlign w:val="center"/>
          </w:tcPr>
          <w:p>
            <w:pPr>
              <w:pStyle w:val="TableContents"/>
              <w:bidi w:val="0"/>
              <w:spacing w:before="0" w:after="1"/>
              <w:jc w:val="left"/>
              <w:rPr/>
            </w:pPr>
            <w:r>
              <w:rPr/>
              <w:t xml:space="preserve">  </w:t>
            </w:r>
          </w:p>
        </w:tc>
        <w:tc>
          <w:tcPr>
            <w:tcW w:w="281"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1139" w:type="dxa"/>
            <w:tcBorders>
              <w:bottom w:val="single" w:sz="8" w:space="0" w:color="000000"/>
            </w:tcBorders>
            <w:tcMar>
              <w:top w:w="0" w:type="dxa"/>
              <w:left w:w="0" w:type="dxa"/>
              <w:right w:w="0" w:type="dxa"/>
            </w:tcMar>
            <w:vAlign w:val="center"/>
          </w:tcPr>
          <w:p>
            <w:pPr>
              <w:pStyle w:val="TableContents"/>
              <w:bidi w:val="0"/>
              <w:spacing w:before="0" w:after="1"/>
              <w:jc w:val="right"/>
              <w:rPr/>
            </w:pPr>
            <w:r>
              <w:rPr>
                <w:rFonts w:ascii="Times New Roman" w:hAnsi="Times New Roman"/>
                <w:color w:val="000000"/>
                <w:sz w:val="18"/>
              </w:rPr>
              <w:t>(393)</w:t>
            </w:r>
            <w:r>
              <w:rPr/>
              <w:t xml:space="preserve"> </w:t>
            </w:r>
          </w:p>
        </w:tc>
        <w:tc>
          <w:tcPr>
            <w:tcW w:w="424" w:type="dxa"/>
            <w:tcBorders/>
            <w:vAlign w:val="center"/>
          </w:tcPr>
          <w:p>
            <w:pPr>
              <w:pStyle w:val="TableContents"/>
              <w:bidi w:val="0"/>
              <w:spacing w:before="0" w:after="1"/>
              <w:jc w:val="left"/>
              <w:rPr/>
            </w:pPr>
            <w:r>
              <w:rPr/>
              <w:t xml:space="preserve">  </w:t>
            </w:r>
          </w:p>
        </w:tc>
        <w:tc>
          <w:tcPr>
            <w:tcW w:w="281"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1188" w:type="dxa"/>
            <w:tcBorders>
              <w:bottom w:val="single" w:sz="8" w:space="0" w:color="000000"/>
            </w:tcBorders>
            <w:tcMar>
              <w:top w:w="0" w:type="dxa"/>
              <w:left w:w="0" w:type="dxa"/>
              <w:right w:w="0" w:type="dxa"/>
            </w:tcMar>
            <w:vAlign w:val="center"/>
          </w:tcPr>
          <w:p>
            <w:pPr>
              <w:pStyle w:val="TableContents"/>
              <w:bidi w:val="0"/>
              <w:spacing w:before="0" w:after="1"/>
              <w:jc w:val="right"/>
              <w:rPr/>
            </w:pPr>
            <w:r>
              <w:rPr>
                <w:rFonts w:ascii="Times New Roman" w:hAnsi="Times New Roman"/>
                <w:color w:val="000000"/>
                <w:sz w:val="18"/>
              </w:rPr>
              <w:t>(535)</w:t>
            </w:r>
            <w:r>
              <w:rPr/>
              <w:t xml:space="preserve"> </w:t>
            </w:r>
          </w:p>
        </w:tc>
      </w:tr>
      <w:tr>
        <w:trPr/>
        <w:tc>
          <w:tcPr>
            <w:tcW w:w="3436" w:type="dxa"/>
            <w:tcBorders/>
            <w:vAlign w:val="center"/>
          </w:tcPr>
          <w:p>
            <w:pPr>
              <w:pStyle w:val="TableContents"/>
              <w:bidi w:val="0"/>
              <w:spacing w:before="0" w:after="1"/>
              <w:jc w:val="left"/>
              <w:rPr/>
            </w:pPr>
            <w:r>
              <w:rPr>
                <w:rFonts w:ascii="Times New Roman" w:hAnsi="Times New Roman"/>
                <w:b/>
                <w:color w:val="000000"/>
                <w:sz w:val="18"/>
              </w:rPr>
              <w:t>Tangible assets</w:t>
            </w:r>
            <w:r>
              <w:rPr/>
              <w:t xml:space="preserve"> </w:t>
            </w:r>
          </w:p>
        </w:tc>
        <w:tc>
          <w:tcPr>
            <w:tcW w:w="206"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139" w:type="dxa"/>
            <w:tcBorders/>
            <w:vAlign w:val="center"/>
          </w:tcPr>
          <w:p>
            <w:pPr>
              <w:pStyle w:val="TableContents"/>
              <w:bidi w:val="0"/>
              <w:spacing w:before="0" w:after="1"/>
              <w:ind w:left="0" w:right="60" w:hanging="0"/>
              <w:jc w:val="right"/>
              <w:rPr/>
            </w:pPr>
            <w:r>
              <w:rPr>
                <w:rFonts w:ascii="Times New Roman" w:hAnsi="Times New Roman"/>
                <w:color w:val="000000"/>
                <w:sz w:val="18"/>
              </w:rPr>
              <w:t>2,794,619</w:t>
            </w:r>
            <w:r>
              <w:rPr/>
              <w:t xml:space="preserve"> </w:t>
            </w:r>
          </w:p>
        </w:tc>
        <w:tc>
          <w:tcPr>
            <w:tcW w:w="424"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188" w:type="dxa"/>
            <w:tcBorders/>
            <w:vAlign w:val="center"/>
          </w:tcPr>
          <w:p>
            <w:pPr>
              <w:pStyle w:val="TableContents"/>
              <w:bidi w:val="0"/>
              <w:spacing w:before="0" w:after="1"/>
              <w:ind w:left="0" w:right="60" w:hanging="0"/>
              <w:jc w:val="right"/>
              <w:rPr/>
            </w:pPr>
            <w:r>
              <w:rPr>
                <w:rFonts w:ascii="Times New Roman" w:hAnsi="Times New Roman"/>
                <w:color w:val="000000"/>
                <w:sz w:val="18"/>
              </w:rPr>
              <w:t>2,653,483</w:t>
            </w:r>
            <w:r>
              <w:rPr/>
              <w:t xml:space="preserve"> </w:t>
            </w:r>
          </w:p>
        </w:tc>
      </w:tr>
      <w:tr>
        <w:trPr/>
        <w:tc>
          <w:tcPr>
            <w:tcW w:w="3436" w:type="dxa"/>
            <w:tcBorders/>
            <w:vAlign w:val="center"/>
          </w:tcPr>
          <w:p>
            <w:pPr>
              <w:pStyle w:val="TableContents"/>
              <w:bidi w:val="0"/>
              <w:spacing w:before="0" w:after="1"/>
              <w:jc w:val="left"/>
              <w:rPr/>
            </w:pPr>
            <w:r>
              <w:rPr>
                <w:rFonts w:ascii="Times New Roman" w:hAnsi="Times New Roman"/>
                <w:b/>
                <w:color w:val="000000"/>
                <w:sz w:val="18"/>
              </w:rPr>
              <w:t>Tangible common equity to tangible assets</w:t>
            </w:r>
            <w:r>
              <w:rPr/>
              <w:t xml:space="preserve"> </w:t>
            </w:r>
          </w:p>
        </w:tc>
        <w:tc>
          <w:tcPr>
            <w:tcW w:w="206" w:type="dxa"/>
            <w:tcBorders/>
            <w:vAlign w:val="center"/>
          </w:tcPr>
          <w:p>
            <w:pPr>
              <w:pStyle w:val="TableContents"/>
              <w:bidi w:val="0"/>
              <w:spacing w:before="0" w:after="1"/>
              <w:jc w:val="left"/>
              <w:rPr/>
            </w:pPr>
            <w:r>
              <w:rPr/>
              <w:t xml:space="preserve">  </w:t>
            </w:r>
          </w:p>
        </w:tc>
        <w:tc>
          <w:tcPr>
            <w:tcW w:w="281" w:type="dxa"/>
            <w:tcBorders/>
            <w:vAlign w:val="center"/>
          </w:tcPr>
          <w:p>
            <w:pPr>
              <w:pStyle w:val="TableContents"/>
              <w:bidi w:val="0"/>
              <w:spacing w:before="0" w:after="1"/>
              <w:jc w:val="left"/>
              <w:rPr/>
            </w:pPr>
            <w:r>
              <w:rPr/>
              <w:t xml:space="preserve">  </w:t>
            </w:r>
          </w:p>
        </w:tc>
        <w:tc>
          <w:tcPr>
            <w:tcW w:w="1139" w:type="dxa"/>
            <w:tcBorders/>
            <w:vAlign w:val="center"/>
          </w:tcPr>
          <w:p>
            <w:pPr>
              <w:pStyle w:val="TableContents"/>
              <w:bidi w:val="0"/>
              <w:spacing w:before="0" w:after="1"/>
              <w:ind w:left="0" w:right="60" w:hanging="0"/>
              <w:jc w:val="right"/>
              <w:rPr/>
            </w:pPr>
            <w:r>
              <w:rPr>
                <w:rFonts w:ascii="Times New Roman" w:hAnsi="Times New Roman"/>
                <w:color w:val="000000"/>
                <w:sz w:val="18"/>
              </w:rPr>
              <w:t>10.77%</w:t>
            </w:r>
            <w:r>
              <w:rPr/>
              <w:t xml:space="preserve"> </w:t>
            </w:r>
          </w:p>
        </w:tc>
        <w:tc>
          <w:tcPr>
            <w:tcW w:w="424" w:type="dxa"/>
            <w:tcBorders/>
            <w:vAlign w:val="center"/>
          </w:tcPr>
          <w:p>
            <w:pPr>
              <w:pStyle w:val="TableContents"/>
              <w:bidi w:val="0"/>
              <w:spacing w:before="0" w:after="1"/>
              <w:jc w:val="center"/>
              <w:rPr/>
            </w:pPr>
            <w:r>
              <w:rPr/>
              <w:t xml:space="preserve">  </w:t>
            </w:r>
          </w:p>
        </w:tc>
        <w:tc>
          <w:tcPr>
            <w:tcW w:w="281" w:type="dxa"/>
            <w:tcBorders/>
            <w:vAlign w:val="center"/>
          </w:tcPr>
          <w:p>
            <w:pPr>
              <w:pStyle w:val="TableContents"/>
              <w:bidi w:val="0"/>
              <w:spacing w:before="0" w:after="1"/>
              <w:jc w:val="left"/>
              <w:rPr/>
            </w:pPr>
            <w:r>
              <w:rPr/>
              <w:t xml:space="preserve">  </w:t>
            </w:r>
          </w:p>
        </w:tc>
        <w:tc>
          <w:tcPr>
            <w:tcW w:w="1188" w:type="dxa"/>
            <w:tcBorders/>
            <w:vAlign w:val="center"/>
          </w:tcPr>
          <w:p>
            <w:pPr>
              <w:pStyle w:val="TableContents"/>
              <w:bidi w:val="0"/>
              <w:spacing w:before="0" w:after="1"/>
              <w:ind w:left="0" w:right="60" w:hanging="0"/>
              <w:jc w:val="right"/>
              <w:rPr/>
            </w:pPr>
            <w:r>
              <w:rPr>
                <w:rFonts w:ascii="Times New Roman" w:hAnsi="Times New Roman"/>
                <w:color w:val="000000"/>
                <w:sz w:val="18"/>
              </w:rPr>
              <w:t>10.49%</w:t>
            </w:r>
            <w:r>
              <w:rPr/>
              <w:t xml:space="preserve"> </w:t>
            </w:r>
          </w:p>
        </w:tc>
      </w:tr>
    </w:tbl>
    <w:p>
      <w:pPr>
        <w:pStyle w:val="TextBody"/>
        <w:bidi w:val="0"/>
        <w:spacing w:before="0" w:after="60"/>
        <w:jc w:val="both"/>
        <w:rPr/>
      </w:pPr>
      <w:r>
        <w:rPr/>
        <w:t xml:space="preserve">  </w:t>
      </w:r>
    </w:p>
    <w:p>
      <w:pPr>
        <w:pStyle w:val="TextBody"/>
        <w:bidi w:val="0"/>
        <w:spacing w:before="0" w:after="60"/>
        <w:jc w:val="both"/>
        <w:rPr/>
      </w:pPr>
      <w:r>
        <w:rPr/>
        <w:t xml:space="preserve">  </w:t>
      </w:r>
    </w:p>
    <w:p>
      <w:pPr>
        <w:pStyle w:val="TextBody"/>
        <w:bidi w:val="0"/>
        <w:spacing w:before="0" w:after="120"/>
        <w:jc w:val="both"/>
        <w:rPr/>
      </w:pPr>
      <w:r>
        <w:rPr>
          <w:rFonts w:ascii="Times New Roman" w:hAnsi="Times New Roman"/>
          <w:sz w:val="18"/>
        </w:rPr>
        <w:t>The following table presents reconciliation of adjusted quarterly net income.</w:t>
      </w:r>
      <w:r>
        <w:rPr/>
        <w:t xml:space="preserve"> </w:t>
      </w:r>
    </w:p>
    <w:tbl>
      <w:tblPr>
        <w:tblW w:w="6477" w:type="dxa"/>
        <w:jc w:val="left"/>
        <w:tblInd w:w="0" w:type="dxa"/>
        <w:tblLayout w:type="fixed"/>
        <w:tblCellMar>
          <w:top w:w="28" w:type="dxa"/>
          <w:left w:w="28" w:type="dxa"/>
          <w:bottom w:w="28" w:type="dxa"/>
          <w:right w:w="28" w:type="dxa"/>
        </w:tblCellMar>
      </w:tblPr>
      <w:tblGrid>
        <w:gridCol w:w="3646"/>
        <w:gridCol w:w="206"/>
        <w:gridCol w:w="256"/>
        <w:gridCol w:w="877"/>
        <w:gridCol w:w="250"/>
        <w:gridCol w:w="311"/>
        <w:gridCol w:w="931"/>
      </w:tblGrid>
      <w:tr>
        <w:trPr/>
        <w:tc>
          <w:tcPr>
            <w:tcW w:w="3646"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877" w:type="dxa"/>
            <w:tcBorders/>
            <w:vAlign w:val="center"/>
          </w:tcPr>
          <w:p>
            <w:pPr>
              <w:pStyle w:val="TableContents"/>
              <w:bidi w:val="0"/>
              <w:spacing w:before="0" w:after="1"/>
              <w:jc w:val="left"/>
              <w:rPr/>
            </w:pPr>
            <w:r>
              <w:rPr/>
              <w:t xml:space="preserve">  </w:t>
            </w:r>
          </w:p>
        </w:tc>
        <w:tc>
          <w:tcPr>
            <w:tcW w:w="250" w:type="dxa"/>
            <w:tcBorders/>
            <w:vAlign w:val="center"/>
          </w:tcPr>
          <w:p>
            <w:pPr>
              <w:pStyle w:val="TableContents"/>
              <w:bidi w:val="0"/>
              <w:spacing w:before="0" w:after="1"/>
              <w:jc w:val="left"/>
              <w:rPr/>
            </w:pPr>
            <w:r>
              <w:rPr/>
              <w:t xml:space="preserve">  </w:t>
            </w:r>
          </w:p>
        </w:tc>
        <w:tc>
          <w:tcPr>
            <w:tcW w:w="311" w:type="dxa"/>
            <w:tcBorders/>
            <w:vAlign w:val="center"/>
          </w:tcPr>
          <w:p>
            <w:pPr>
              <w:pStyle w:val="TableContents"/>
              <w:bidi w:val="0"/>
              <w:spacing w:before="0" w:after="1"/>
              <w:jc w:val="left"/>
              <w:rPr/>
            </w:pPr>
            <w:r>
              <w:rPr/>
              <w:t xml:space="preserve">  </w:t>
            </w:r>
          </w:p>
        </w:tc>
        <w:tc>
          <w:tcPr>
            <w:tcW w:w="931" w:type="dxa"/>
            <w:tcBorders/>
            <w:vAlign w:val="center"/>
          </w:tcPr>
          <w:p>
            <w:pPr>
              <w:pStyle w:val="TableContents"/>
              <w:bidi w:val="0"/>
              <w:spacing w:before="0" w:after="1"/>
              <w:jc w:val="left"/>
              <w:rPr/>
            </w:pPr>
            <w:r>
              <w:rPr/>
              <w:t xml:space="preserve">  </w:t>
            </w:r>
          </w:p>
        </w:tc>
      </w:tr>
      <w:tr>
        <w:trPr/>
        <w:tc>
          <w:tcPr>
            <w:tcW w:w="3646"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2369" w:type="dxa"/>
            <w:gridSpan w:val="4"/>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Three Months Ended June 30,</w:t>
            </w:r>
            <w:r>
              <w:rPr/>
              <w:t xml:space="preserve"> </w:t>
            </w:r>
          </w:p>
        </w:tc>
      </w:tr>
      <w:tr>
        <w:trPr/>
        <w:tc>
          <w:tcPr>
            <w:tcW w:w="3646" w:type="dxa"/>
            <w:tcBorders/>
            <w:vAlign w:val="center"/>
          </w:tcPr>
          <w:p>
            <w:pPr>
              <w:pStyle w:val="TableContents"/>
              <w:bidi w:val="0"/>
              <w:spacing w:before="0" w:after="1"/>
              <w:jc w:val="center"/>
              <w:rPr/>
            </w:pPr>
            <w:r>
              <w:rPr/>
              <w:t xml:space="preserve">  </w:t>
            </w:r>
          </w:p>
        </w:tc>
        <w:tc>
          <w:tcPr>
            <w:tcW w:w="206" w:type="dxa"/>
            <w:tcBorders/>
            <w:vAlign w:val="center"/>
          </w:tcPr>
          <w:p>
            <w:pPr>
              <w:pStyle w:val="TableContents"/>
              <w:bidi w:val="0"/>
              <w:spacing w:before="0" w:after="1"/>
              <w:jc w:val="center"/>
              <w:rPr/>
            </w:pPr>
            <w:r>
              <w:rPr/>
              <w:t xml:space="preserve">  </w:t>
            </w:r>
          </w:p>
        </w:tc>
        <w:tc>
          <w:tcPr>
            <w:tcW w:w="1133"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2026</w:t>
            </w:r>
            <w:r>
              <w:rPr/>
              <w:t xml:space="preserve"> </w:t>
            </w:r>
          </w:p>
        </w:tc>
        <w:tc>
          <w:tcPr>
            <w:tcW w:w="250" w:type="dxa"/>
            <w:tcBorders/>
            <w:vAlign w:val="center"/>
          </w:tcPr>
          <w:p>
            <w:pPr>
              <w:pStyle w:val="TableContents"/>
              <w:bidi w:val="0"/>
              <w:spacing w:before="0" w:after="1"/>
              <w:jc w:val="center"/>
              <w:rPr/>
            </w:pPr>
            <w:r>
              <w:rPr/>
              <w:t xml:space="preserve">  </w:t>
            </w:r>
          </w:p>
        </w:tc>
        <w:tc>
          <w:tcPr>
            <w:tcW w:w="1242"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2025</w:t>
            </w:r>
            <w:r>
              <w:rPr/>
              <w:t xml:space="preserve"> </w:t>
            </w:r>
          </w:p>
        </w:tc>
      </w:tr>
      <w:tr>
        <w:trPr/>
        <w:tc>
          <w:tcPr>
            <w:tcW w:w="3646" w:type="dxa"/>
            <w:tcBorders/>
            <w:vAlign w:val="center"/>
          </w:tcPr>
          <w:p>
            <w:pPr>
              <w:pStyle w:val="TableContents"/>
              <w:bidi w:val="0"/>
              <w:spacing w:before="0" w:after="1"/>
              <w:jc w:val="left"/>
              <w:rPr/>
            </w:pPr>
            <w:r>
              <w:rPr>
                <w:rFonts w:ascii="Times New Roman" w:hAnsi="Times New Roman"/>
                <w:color w:val="000000"/>
                <w:sz w:val="18"/>
              </w:rPr>
              <w:t>Pretax income</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877" w:type="dxa"/>
            <w:tcBorders/>
            <w:vAlign w:val="center"/>
          </w:tcPr>
          <w:p>
            <w:pPr>
              <w:pStyle w:val="TableContents"/>
              <w:bidi w:val="0"/>
              <w:spacing w:before="0" w:after="1"/>
              <w:ind w:left="0" w:right="60" w:hanging="0"/>
              <w:jc w:val="right"/>
              <w:rPr/>
            </w:pPr>
            <w:r>
              <w:rPr>
                <w:rFonts w:ascii="Times New Roman" w:hAnsi="Times New Roman"/>
                <w:color w:val="000000"/>
                <w:sz w:val="18"/>
              </w:rPr>
              <w:t>11,560</w:t>
            </w:r>
            <w:r>
              <w:rPr/>
              <w:t xml:space="preserve"> </w:t>
            </w:r>
          </w:p>
        </w:tc>
        <w:tc>
          <w:tcPr>
            <w:tcW w:w="250" w:type="dxa"/>
            <w:tcBorders/>
            <w:vAlign w:val="center"/>
          </w:tcPr>
          <w:p>
            <w:pPr>
              <w:pStyle w:val="TableContents"/>
              <w:bidi w:val="0"/>
              <w:spacing w:before="0" w:after="1"/>
              <w:jc w:val="left"/>
              <w:rPr/>
            </w:pPr>
            <w:r>
              <w:rPr/>
              <w:t xml:space="preserve">  </w:t>
            </w:r>
          </w:p>
        </w:tc>
        <w:tc>
          <w:tcPr>
            <w:tcW w:w="3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31" w:type="dxa"/>
            <w:tcBorders/>
            <w:vAlign w:val="center"/>
          </w:tcPr>
          <w:p>
            <w:pPr>
              <w:pStyle w:val="TableContents"/>
              <w:bidi w:val="0"/>
              <w:spacing w:before="0" w:after="1"/>
              <w:ind w:left="0" w:right="60" w:hanging="0"/>
              <w:jc w:val="right"/>
              <w:rPr/>
            </w:pPr>
            <w:r>
              <w:rPr>
                <w:rFonts w:ascii="Times New Roman" w:hAnsi="Times New Roman"/>
                <w:color w:val="000000"/>
                <w:sz w:val="18"/>
              </w:rPr>
              <w:t>13,589</w:t>
            </w:r>
            <w:r>
              <w:rPr/>
              <w:t xml:space="preserve"> </w:t>
            </w:r>
          </w:p>
        </w:tc>
      </w:tr>
      <w:tr>
        <w:trPr/>
        <w:tc>
          <w:tcPr>
            <w:tcW w:w="3646" w:type="dxa"/>
            <w:tcBorders/>
            <w:vAlign w:val="center"/>
          </w:tcPr>
          <w:p>
            <w:pPr>
              <w:pStyle w:val="TableContents"/>
              <w:bidi w:val="0"/>
              <w:spacing w:before="0" w:after="1"/>
              <w:jc w:val="left"/>
              <w:rPr/>
            </w:pPr>
            <w:r>
              <w:rPr>
                <w:rFonts w:ascii="Times New Roman" w:hAnsi="Times New Roman"/>
                <w:color w:val="000000"/>
                <w:sz w:val="18"/>
              </w:rPr>
              <w:t>Adjustments:</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877" w:type="dxa"/>
            <w:tcBorders/>
            <w:vAlign w:val="center"/>
          </w:tcPr>
          <w:p>
            <w:pPr>
              <w:pStyle w:val="TableContents"/>
              <w:bidi w:val="0"/>
              <w:spacing w:before="0" w:after="1"/>
              <w:jc w:val="left"/>
              <w:rPr/>
            </w:pPr>
            <w:r>
              <w:rPr/>
              <w:t xml:space="preserve">  </w:t>
            </w:r>
          </w:p>
        </w:tc>
        <w:tc>
          <w:tcPr>
            <w:tcW w:w="250" w:type="dxa"/>
            <w:tcBorders/>
            <w:vAlign w:val="center"/>
          </w:tcPr>
          <w:p>
            <w:pPr>
              <w:pStyle w:val="TableContents"/>
              <w:bidi w:val="0"/>
              <w:spacing w:before="0" w:after="1"/>
              <w:jc w:val="left"/>
              <w:rPr/>
            </w:pPr>
            <w:r>
              <w:rPr/>
              <w:t xml:space="preserve">  </w:t>
            </w:r>
          </w:p>
        </w:tc>
        <w:tc>
          <w:tcPr>
            <w:tcW w:w="311" w:type="dxa"/>
            <w:tcBorders/>
            <w:vAlign w:val="center"/>
          </w:tcPr>
          <w:p>
            <w:pPr>
              <w:pStyle w:val="TableContents"/>
              <w:bidi w:val="0"/>
              <w:spacing w:before="0" w:after="1"/>
              <w:jc w:val="left"/>
              <w:rPr/>
            </w:pPr>
            <w:r>
              <w:rPr/>
              <w:t xml:space="preserve">  </w:t>
            </w:r>
          </w:p>
        </w:tc>
        <w:tc>
          <w:tcPr>
            <w:tcW w:w="931" w:type="dxa"/>
            <w:tcBorders/>
            <w:vAlign w:val="center"/>
          </w:tcPr>
          <w:p>
            <w:pPr>
              <w:pStyle w:val="TableContents"/>
              <w:bidi w:val="0"/>
              <w:spacing w:before="0" w:after="1"/>
              <w:jc w:val="left"/>
              <w:rPr/>
            </w:pPr>
            <w:r>
              <w:rPr/>
              <w:t xml:space="preserve">  </w:t>
            </w:r>
          </w:p>
        </w:tc>
      </w:tr>
      <w:tr>
        <w:trPr/>
        <w:tc>
          <w:tcPr>
            <w:tcW w:w="3646" w:type="dxa"/>
            <w:tcBorders/>
            <w:vAlign w:val="center"/>
          </w:tcPr>
          <w:p>
            <w:pPr>
              <w:pStyle w:val="TableContents"/>
              <w:bidi w:val="0"/>
              <w:spacing w:before="0" w:after="1"/>
              <w:ind w:left="120" w:right="0" w:hanging="0"/>
              <w:jc w:val="left"/>
              <w:rPr>
                <w:rFonts w:ascii="Times New Roman" w:hAnsi="Times New Roman"/>
                <w:color w:val="000000"/>
                <w:sz w:val="18"/>
              </w:rPr>
            </w:pPr>
            <w:r>
              <w:rPr>
                <w:rFonts w:ascii="Times New Roman" w:hAnsi="Times New Roman"/>
                <w:color w:val="000000"/>
                <w:sz w:val="18"/>
              </w:rPr>
              <w:t xml:space="preserve">Valuation loss on loans held-for-sale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877" w:type="dxa"/>
            <w:tcBorders/>
            <w:vAlign w:val="center"/>
          </w:tcPr>
          <w:p>
            <w:pPr>
              <w:pStyle w:val="TableContents"/>
              <w:bidi w:val="0"/>
              <w:spacing w:before="0" w:after="1"/>
              <w:ind w:left="0" w:right="60" w:hanging="0"/>
              <w:jc w:val="right"/>
              <w:rPr/>
            </w:pPr>
            <w:r>
              <w:rPr>
                <w:rFonts w:ascii="Times New Roman" w:hAnsi="Times New Roman"/>
                <w:color w:val="000000"/>
                <w:sz w:val="18"/>
              </w:rPr>
              <w:t>4,761</w:t>
            </w:r>
            <w:r>
              <w:rPr/>
              <w:t xml:space="preserve"> </w:t>
            </w:r>
          </w:p>
        </w:tc>
        <w:tc>
          <w:tcPr>
            <w:tcW w:w="250" w:type="dxa"/>
            <w:tcBorders/>
            <w:vAlign w:val="center"/>
          </w:tcPr>
          <w:p>
            <w:pPr>
              <w:pStyle w:val="TableContents"/>
              <w:bidi w:val="0"/>
              <w:spacing w:before="0" w:after="1"/>
              <w:jc w:val="left"/>
              <w:rPr/>
            </w:pPr>
            <w:r>
              <w:rPr/>
              <w:t xml:space="preserve">  </w:t>
            </w:r>
          </w:p>
        </w:tc>
        <w:tc>
          <w:tcPr>
            <w:tcW w:w="311" w:type="dxa"/>
            <w:tcBorders/>
            <w:vAlign w:val="center"/>
          </w:tcPr>
          <w:p>
            <w:pPr>
              <w:pStyle w:val="TableContents"/>
              <w:bidi w:val="0"/>
              <w:spacing w:before="0" w:after="1"/>
              <w:jc w:val="left"/>
              <w:rPr/>
            </w:pPr>
            <w:r>
              <w:rPr/>
              <w:t xml:space="preserve">  </w:t>
            </w:r>
          </w:p>
        </w:tc>
        <w:tc>
          <w:tcPr>
            <w:tcW w:w="931" w:type="dxa"/>
            <w:tcBorders/>
            <w:vAlign w:val="center"/>
          </w:tcPr>
          <w:p>
            <w:pPr>
              <w:pStyle w:val="TableContents"/>
              <w:bidi w:val="0"/>
              <w:spacing w:before="0" w:after="1"/>
              <w:ind w:left="0" w:right="60" w:hanging="0"/>
              <w:jc w:val="right"/>
              <w:rPr/>
            </w:pPr>
            <w:r>
              <w:rPr>
                <w:color w:val="000000"/>
              </w:rPr>
              <w:t>—</w:t>
            </w:r>
            <w:r>
              <w:rPr/>
              <w:t xml:space="preserve"> </w:t>
            </w:r>
          </w:p>
        </w:tc>
      </w:tr>
      <w:tr>
        <w:trPr/>
        <w:tc>
          <w:tcPr>
            <w:tcW w:w="3646" w:type="dxa"/>
            <w:tcBorders/>
            <w:vAlign w:val="center"/>
          </w:tcPr>
          <w:p>
            <w:pPr>
              <w:pStyle w:val="TableContents"/>
              <w:bidi w:val="0"/>
              <w:spacing w:before="0" w:after="1"/>
              <w:ind w:left="120" w:right="0" w:hanging="0"/>
              <w:jc w:val="left"/>
              <w:rPr/>
            </w:pPr>
            <w:r>
              <w:rPr>
                <w:rFonts w:ascii="Times New Roman" w:hAnsi="Times New Roman"/>
                <w:color w:val="000000"/>
                <w:sz w:val="18"/>
              </w:rPr>
              <w:t>Net loss on sale of securities</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877" w:type="dxa"/>
            <w:tcBorders/>
            <w:vAlign w:val="center"/>
          </w:tcPr>
          <w:p>
            <w:pPr>
              <w:pStyle w:val="TableContents"/>
              <w:bidi w:val="0"/>
              <w:spacing w:before="0" w:after="1"/>
              <w:ind w:left="0" w:right="60" w:hanging="0"/>
              <w:jc w:val="right"/>
              <w:rPr/>
            </w:pPr>
            <w:r>
              <w:rPr>
                <w:color w:val="000000"/>
              </w:rPr>
              <w:t>—</w:t>
            </w:r>
            <w:r>
              <w:rPr/>
              <w:t xml:space="preserve"> </w:t>
            </w:r>
          </w:p>
        </w:tc>
        <w:tc>
          <w:tcPr>
            <w:tcW w:w="250" w:type="dxa"/>
            <w:tcBorders/>
            <w:vAlign w:val="center"/>
          </w:tcPr>
          <w:p>
            <w:pPr>
              <w:pStyle w:val="TableContents"/>
              <w:bidi w:val="0"/>
              <w:spacing w:before="0" w:after="1"/>
              <w:jc w:val="left"/>
              <w:rPr/>
            </w:pPr>
            <w:r>
              <w:rPr/>
              <w:t xml:space="preserve">  </w:t>
            </w:r>
          </w:p>
        </w:tc>
        <w:tc>
          <w:tcPr>
            <w:tcW w:w="311" w:type="dxa"/>
            <w:tcBorders/>
            <w:vAlign w:val="center"/>
          </w:tcPr>
          <w:p>
            <w:pPr>
              <w:pStyle w:val="TableContents"/>
              <w:bidi w:val="0"/>
              <w:spacing w:before="0" w:after="1"/>
              <w:jc w:val="left"/>
              <w:rPr/>
            </w:pPr>
            <w:r>
              <w:rPr/>
              <w:t xml:space="preserve">  </w:t>
            </w:r>
          </w:p>
        </w:tc>
        <w:tc>
          <w:tcPr>
            <w:tcW w:w="931" w:type="dxa"/>
            <w:tcBorders/>
            <w:vAlign w:val="center"/>
          </w:tcPr>
          <w:p>
            <w:pPr>
              <w:pStyle w:val="TableContents"/>
              <w:bidi w:val="0"/>
              <w:spacing w:before="0" w:after="1"/>
              <w:ind w:left="0" w:right="60" w:hanging="0"/>
              <w:jc w:val="right"/>
              <w:rPr/>
            </w:pPr>
            <w:r>
              <w:rPr>
                <w:rFonts w:ascii="Times New Roman" w:hAnsi="Times New Roman"/>
                <w:color w:val="000000"/>
                <w:sz w:val="18"/>
              </w:rPr>
              <w:t>727</w:t>
            </w:r>
            <w:r>
              <w:rPr/>
              <w:t xml:space="preserve"> </w:t>
            </w:r>
          </w:p>
        </w:tc>
      </w:tr>
      <w:tr>
        <w:trPr/>
        <w:tc>
          <w:tcPr>
            <w:tcW w:w="3646" w:type="dxa"/>
            <w:tcBorders/>
            <w:vAlign w:val="center"/>
          </w:tcPr>
          <w:p>
            <w:pPr>
              <w:pStyle w:val="TableContents"/>
              <w:bidi w:val="0"/>
              <w:spacing w:before="0" w:after="1"/>
              <w:ind w:left="120" w:right="0" w:hanging="0"/>
              <w:jc w:val="left"/>
              <w:rPr/>
            </w:pPr>
            <w:r>
              <w:rPr>
                <w:rFonts w:ascii="Times New Roman" w:hAnsi="Times New Roman"/>
                <w:color w:val="000000"/>
                <w:sz w:val="18"/>
              </w:rPr>
              <w:t>Proceeds from bank owned life insurance benefit</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877" w:type="dxa"/>
            <w:tcBorders/>
            <w:vAlign w:val="center"/>
          </w:tcPr>
          <w:p>
            <w:pPr>
              <w:pStyle w:val="TableContents"/>
              <w:bidi w:val="0"/>
              <w:spacing w:before="0" w:after="1"/>
              <w:ind w:left="0" w:right="60" w:hanging="0"/>
              <w:jc w:val="right"/>
              <w:rPr/>
            </w:pPr>
            <w:r>
              <w:rPr>
                <w:color w:val="000000"/>
              </w:rPr>
              <w:t>—</w:t>
            </w:r>
            <w:r>
              <w:rPr/>
              <w:t xml:space="preserve"> </w:t>
            </w:r>
          </w:p>
        </w:tc>
        <w:tc>
          <w:tcPr>
            <w:tcW w:w="250" w:type="dxa"/>
            <w:tcBorders/>
            <w:vAlign w:val="center"/>
          </w:tcPr>
          <w:p>
            <w:pPr>
              <w:pStyle w:val="TableContents"/>
              <w:bidi w:val="0"/>
              <w:spacing w:before="0" w:after="1"/>
              <w:jc w:val="left"/>
              <w:rPr/>
            </w:pPr>
            <w:r>
              <w:rPr/>
              <w:t xml:space="preserve">  </w:t>
            </w:r>
          </w:p>
        </w:tc>
        <w:tc>
          <w:tcPr>
            <w:tcW w:w="311" w:type="dxa"/>
            <w:tcBorders/>
            <w:vAlign w:val="center"/>
          </w:tcPr>
          <w:p>
            <w:pPr>
              <w:pStyle w:val="TableContents"/>
              <w:bidi w:val="0"/>
              <w:spacing w:before="0" w:after="1"/>
              <w:jc w:val="left"/>
              <w:rPr/>
            </w:pPr>
            <w:r>
              <w:rPr/>
              <w:t xml:space="preserve">  </w:t>
            </w:r>
          </w:p>
        </w:tc>
        <w:tc>
          <w:tcPr>
            <w:tcW w:w="931" w:type="dxa"/>
            <w:tcBorders/>
            <w:vAlign w:val="center"/>
          </w:tcPr>
          <w:p>
            <w:pPr>
              <w:pStyle w:val="TableContents"/>
              <w:bidi w:val="0"/>
              <w:spacing w:before="0" w:after="1"/>
              <w:jc w:val="right"/>
              <w:rPr/>
            </w:pPr>
            <w:r>
              <w:rPr>
                <w:rFonts w:ascii="Times New Roman" w:hAnsi="Times New Roman"/>
                <w:color w:val="000000"/>
                <w:sz w:val="18"/>
              </w:rPr>
              <w:t>(2,399)</w:t>
            </w:r>
            <w:r>
              <w:rPr/>
              <w:t xml:space="preserve"> </w:t>
            </w:r>
          </w:p>
        </w:tc>
      </w:tr>
      <w:tr>
        <w:trPr/>
        <w:tc>
          <w:tcPr>
            <w:tcW w:w="3646" w:type="dxa"/>
            <w:tcBorders/>
            <w:vAlign w:val="center"/>
          </w:tcPr>
          <w:p>
            <w:pPr>
              <w:pStyle w:val="TableContents"/>
              <w:bidi w:val="0"/>
              <w:spacing w:before="0" w:after="1"/>
              <w:ind w:left="120" w:right="0" w:hanging="0"/>
              <w:jc w:val="left"/>
              <w:rPr/>
            </w:pPr>
            <w:r>
              <w:rPr>
                <w:rFonts w:ascii="Times New Roman" w:hAnsi="Times New Roman"/>
                <w:color w:val="000000"/>
                <w:sz w:val="18"/>
              </w:rPr>
              <w:t>Gain on sale of assets</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87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color w:val="000000"/>
              </w:rPr>
              <w:t>—</w:t>
            </w:r>
            <w:r>
              <w:rPr/>
              <w:t xml:space="preserve"> </w:t>
            </w:r>
          </w:p>
        </w:tc>
        <w:tc>
          <w:tcPr>
            <w:tcW w:w="250" w:type="dxa"/>
            <w:tcBorders/>
            <w:vAlign w:val="center"/>
          </w:tcPr>
          <w:p>
            <w:pPr>
              <w:pStyle w:val="TableContents"/>
              <w:bidi w:val="0"/>
              <w:spacing w:before="0" w:after="1"/>
              <w:jc w:val="left"/>
              <w:rPr/>
            </w:pPr>
            <w:r>
              <w:rPr/>
              <w:t xml:space="preserve">  </w:t>
            </w:r>
          </w:p>
        </w:tc>
        <w:tc>
          <w:tcPr>
            <w:tcW w:w="311"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931" w:type="dxa"/>
            <w:tcBorders>
              <w:bottom w:val="single" w:sz="8" w:space="0" w:color="000000"/>
            </w:tcBorders>
            <w:tcMar>
              <w:top w:w="0" w:type="dxa"/>
              <w:left w:w="0" w:type="dxa"/>
              <w:right w:w="0" w:type="dxa"/>
            </w:tcMar>
            <w:vAlign w:val="center"/>
          </w:tcPr>
          <w:p>
            <w:pPr>
              <w:pStyle w:val="TableContents"/>
              <w:bidi w:val="0"/>
              <w:spacing w:before="0" w:after="1"/>
              <w:jc w:val="right"/>
              <w:rPr/>
            </w:pPr>
            <w:r>
              <w:rPr>
                <w:rFonts w:ascii="Times New Roman" w:hAnsi="Times New Roman"/>
                <w:color w:val="000000"/>
                <w:sz w:val="18"/>
              </w:rPr>
              <w:t>(1,236)</w:t>
            </w:r>
            <w:r>
              <w:rPr/>
              <w:t xml:space="preserve"> </w:t>
            </w:r>
          </w:p>
        </w:tc>
      </w:tr>
      <w:tr>
        <w:trPr/>
        <w:tc>
          <w:tcPr>
            <w:tcW w:w="3646" w:type="dxa"/>
            <w:tcBorders/>
            <w:vAlign w:val="center"/>
          </w:tcPr>
          <w:p>
            <w:pPr>
              <w:pStyle w:val="TableContents"/>
              <w:bidi w:val="0"/>
              <w:spacing w:before="0" w:after="1"/>
              <w:ind w:left="120" w:right="0" w:hanging="0"/>
              <w:jc w:val="left"/>
              <w:rPr/>
            </w:pPr>
            <w:r>
              <w:rPr>
                <w:rFonts w:ascii="Times New Roman" w:hAnsi="Times New Roman"/>
                <w:color w:val="000000"/>
                <w:sz w:val="18"/>
              </w:rPr>
              <w:t>Adjusted pre-tax income</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877" w:type="dxa"/>
            <w:tcBorders/>
            <w:vAlign w:val="center"/>
          </w:tcPr>
          <w:p>
            <w:pPr>
              <w:pStyle w:val="TableContents"/>
              <w:bidi w:val="0"/>
              <w:spacing w:before="0" w:after="1"/>
              <w:ind w:left="0" w:right="60" w:hanging="0"/>
              <w:jc w:val="right"/>
              <w:rPr/>
            </w:pPr>
            <w:r>
              <w:rPr>
                <w:rFonts w:ascii="Times New Roman" w:hAnsi="Times New Roman"/>
                <w:color w:val="000000"/>
                <w:sz w:val="18"/>
              </w:rPr>
              <w:t>16,321</w:t>
            </w:r>
            <w:r>
              <w:rPr/>
              <w:t xml:space="preserve"> </w:t>
            </w:r>
          </w:p>
        </w:tc>
        <w:tc>
          <w:tcPr>
            <w:tcW w:w="250" w:type="dxa"/>
            <w:tcBorders/>
            <w:vAlign w:val="center"/>
          </w:tcPr>
          <w:p>
            <w:pPr>
              <w:pStyle w:val="TableContents"/>
              <w:bidi w:val="0"/>
              <w:spacing w:before="0" w:after="1"/>
              <w:jc w:val="left"/>
              <w:rPr/>
            </w:pPr>
            <w:r>
              <w:rPr/>
              <w:t xml:space="preserve">  </w:t>
            </w:r>
          </w:p>
        </w:tc>
        <w:tc>
          <w:tcPr>
            <w:tcW w:w="311" w:type="dxa"/>
            <w:tcBorders/>
            <w:vAlign w:val="center"/>
          </w:tcPr>
          <w:p>
            <w:pPr>
              <w:pStyle w:val="TableContents"/>
              <w:bidi w:val="0"/>
              <w:spacing w:before="0" w:after="1"/>
              <w:jc w:val="left"/>
              <w:rPr/>
            </w:pPr>
            <w:r>
              <w:rPr/>
              <w:t xml:space="preserve">  </w:t>
            </w:r>
          </w:p>
        </w:tc>
        <w:tc>
          <w:tcPr>
            <w:tcW w:w="931" w:type="dxa"/>
            <w:tcBorders/>
            <w:vAlign w:val="center"/>
          </w:tcPr>
          <w:p>
            <w:pPr>
              <w:pStyle w:val="TableContents"/>
              <w:bidi w:val="0"/>
              <w:spacing w:before="0" w:after="1"/>
              <w:ind w:left="0" w:right="60" w:hanging="0"/>
              <w:jc w:val="right"/>
              <w:rPr/>
            </w:pPr>
            <w:r>
              <w:rPr>
                <w:rFonts w:ascii="Times New Roman" w:hAnsi="Times New Roman"/>
                <w:color w:val="000000"/>
                <w:sz w:val="18"/>
              </w:rPr>
              <w:t>10,681</w:t>
            </w:r>
            <w:r>
              <w:rPr/>
              <w:t xml:space="preserve"> </w:t>
            </w:r>
          </w:p>
        </w:tc>
      </w:tr>
      <w:tr>
        <w:trPr/>
        <w:tc>
          <w:tcPr>
            <w:tcW w:w="3646" w:type="dxa"/>
            <w:tcBorders/>
            <w:vAlign w:val="center"/>
          </w:tcPr>
          <w:p>
            <w:pPr>
              <w:pStyle w:val="TableContents"/>
              <w:bidi w:val="0"/>
              <w:spacing w:before="0" w:after="1"/>
              <w:ind w:left="120" w:right="0" w:hanging="0"/>
              <w:jc w:val="left"/>
              <w:rPr/>
            </w:pPr>
            <w:r>
              <w:rPr>
                <w:rFonts w:ascii="Times New Roman" w:hAnsi="Times New Roman"/>
                <w:color w:val="000000"/>
                <w:sz w:val="18"/>
              </w:rPr>
              <w:t xml:space="preserve">Income taxes </w:t>
            </w:r>
            <w:r>
              <w:rPr>
                <w:rFonts w:ascii="Times New Roman" w:hAnsi="Times New Roman"/>
                <w:color w:val="000000"/>
                <w:sz w:val="12"/>
              </w:rPr>
              <w:t>(1)</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877" w:type="dxa"/>
            <w:tcBorders>
              <w:bottom w:val="single" w:sz="8" w:space="0" w:color="000000"/>
            </w:tcBorders>
            <w:tcMar>
              <w:top w:w="0" w:type="dxa"/>
              <w:left w:w="0" w:type="dxa"/>
              <w:right w:w="0" w:type="dxa"/>
            </w:tcMar>
            <w:vAlign w:val="center"/>
          </w:tcPr>
          <w:p>
            <w:pPr>
              <w:pStyle w:val="TableContents"/>
              <w:bidi w:val="0"/>
              <w:spacing w:before="0" w:after="1"/>
              <w:jc w:val="right"/>
              <w:rPr/>
            </w:pPr>
            <w:r>
              <w:rPr>
                <w:rFonts w:ascii="Times New Roman" w:hAnsi="Times New Roman"/>
                <w:color w:val="000000"/>
                <w:sz w:val="18"/>
              </w:rPr>
              <w:t>(3,754)</w:t>
            </w:r>
            <w:r>
              <w:rPr/>
              <w:t xml:space="preserve"> </w:t>
            </w:r>
          </w:p>
        </w:tc>
        <w:tc>
          <w:tcPr>
            <w:tcW w:w="250" w:type="dxa"/>
            <w:tcBorders/>
            <w:vAlign w:val="center"/>
          </w:tcPr>
          <w:p>
            <w:pPr>
              <w:pStyle w:val="TableContents"/>
              <w:bidi w:val="0"/>
              <w:spacing w:before="0" w:after="1"/>
              <w:jc w:val="left"/>
              <w:rPr/>
            </w:pPr>
            <w:r>
              <w:rPr/>
              <w:t xml:space="preserve">  </w:t>
            </w:r>
          </w:p>
        </w:tc>
        <w:tc>
          <w:tcPr>
            <w:tcW w:w="311"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931" w:type="dxa"/>
            <w:tcBorders>
              <w:bottom w:val="single" w:sz="8" w:space="0" w:color="000000"/>
            </w:tcBorders>
            <w:tcMar>
              <w:top w:w="0" w:type="dxa"/>
              <w:left w:w="0" w:type="dxa"/>
              <w:right w:w="0" w:type="dxa"/>
            </w:tcMar>
            <w:vAlign w:val="center"/>
          </w:tcPr>
          <w:p>
            <w:pPr>
              <w:pStyle w:val="TableContents"/>
              <w:bidi w:val="0"/>
              <w:spacing w:before="0" w:after="1"/>
              <w:jc w:val="right"/>
              <w:rPr/>
            </w:pPr>
            <w:r>
              <w:rPr>
                <w:rFonts w:ascii="Times New Roman" w:hAnsi="Times New Roman"/>
                <w:color w:val="000000"/>
                <w:sz w:val="18"/>
              </w:rPr>
              <w:t>(2,457)</w:t>
            </w:r>
            <w:r>
              <w:rPr/>
              <w:t xml:space="preserve"> </w:t>
            </w:r>
          </w:p>
        </w:tc>
      </w:tr>
      <w:tr>
        <w:trPr/>
        <w:tc>
          <w:tcPr>
            <w:tcW w:w="3646" w:type="dxa"/>
            <w:tcBorders/>
            <w:vAlign w:val="center"/>
          </w:tcPr>
          <w:p>
            <w:pPr>
              <w:pStyle w:val="TableContents"/>
              <w:bidi w:val="0"/>
              <w:spacing w:before="0" w:after="1"/>
              <w:jc w:val="left"/>
              <w:rPr/>
            </w:pPr>
            <w:r>
              <w:rPr>
                <w:rFonts w:ascii="Times New Roman" w:hAnsi="Times New Roman"/>
                <w:color w:val="000000"/>
                <w:sz w:val="18"/>
              </w:rPr>
              <w:t>Adjusted net income</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877"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12,567</w:t>
            </w:r>
            <w:r>
              <w:rPr/>
              <w:t xml:space="preserve"> </w:t>
            </w:r>
          </w:p>
        </w:tc>
        <w:tc>
          <w:tcPr>
            <w:tcW w:w="250" w:type="dxa"/>
            <w:tcBorders/>
            <w:vAlign w:val="center"/>
          </w:tcPr>
          <w:p>
            <w:pPr>
              <w:pStyle w:val="TableContents"/>
              <w:bidi w:val="0"/>
              <w:spacing w:before="0" w:after="1"/>
              <w:jc w:val="left"/>
              <w:rPr/>
            </w:pPr>
            <w:r>
              <w:rPr/>
              <w:t xml:space="preserve">  </w:t>
            </w:r>
          </w:p>
        </w:tc>
        <w:tc>
          <w:tcPr>
            <w:tcW w:w="311"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31"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8,224</w:t>
            </w:r>
            <w:r>
              <w:rPr/>
              <w:t xml:space="preserve"> </w:t>
            </w:r>
          </w:p>
        </w:tc>
      </w:tr>
    </w:tbl>
    <w:p>
      <w:pPr>
        <w:pStyle w:val="TextBody"/>
        <w:bidi w:val="0"/>
        <w:spacing w:before="0" w:after="60"/>
        <w:jc w:val="both"/>
        <w:rPr/>
      </w:pPr>
      <w:r>
        <w:rPr/>
        <w:t xml:space="preserve">  </w:t>
      </w:r>
    </w:p>
    <w:p>
      <w:pPr>
        <w:pStyle w:val="TextBody"/>
        <w:bidi w:val="0"/>
        <w:spacing w:before="0" w:after="0"/>
        <w:ind w:left="576" w:right="0" w:hanging="0"/>
        <w:jc w:val="left"/>
        <w:rPr/>
      </w:pPr>
      <w:r>
        <w:rPr>
          <w:rFonts w:ascii="Times New Roman" w:hAnsi="Times New Roman"/>
          <w:sz w:val="16"/>
          <w:u w:val="single"/>
        </w:rPr>
        <w:t>Notes:</w:t>
      </w:r>
      <w:r>
        <w:rPr/>
        <w:t xml:space="preserve"> </w:t>
      </w:r>
    </w:p>
    <w:p>
      <w:pPr>
        <w:pStyle w:val="TextBody"/>
        <w:bidi w:val="0"/>
        <w:spacing w:before="0" w:after="0"/>
        <w:ind w:left="576" w:right="0" w:hanging="0"/>
        <w:jc w:val="both"/>
        <w:rPr/>
      </w:pPr>
      <w:r>
        <w:rPr>
          <w:rFonts w:ascii="Times New Roman" w:hAnsi="Times New Roman"/>
          <w:sz w:val="10"/>
        </w:rPr>
        <w:t>(1)</w:t>
      </w:r>
      <w:r>
        <w:rPr/>
        <w:t> </w:t>
      </w:r>
      <w:r>
        <w:rPr>
          <w:rFonts w:ascii="Times New Roman" w:hAnsi="Times New Roman"/>
          <w:sz w:val="16"/>
        </w:rPr>
        <w:t>Effective tax rate of 23% for the three months ended June 30, 2026 and 2025.</w:t>
      </w: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60"/>
        <w:jc w:val="both"/>
        <w:rPr/>
      </w:pPr>
      <w:r>
        <w:rPr>
          <w:rFonts w:ascii="Times New Roman" w:hAnsi="Times New Roman"/>
          <w:b/>
          <w:sz w:val="18"/>
        </w:rPr>
        <w:t>About Orange County Bancorp, Inc</w:t>
      </w:r>
      <w:r>
        <w:rPr/>
        <w:t xml:space="preserve"> </w:t>
      </w:r>
    </w:p>
    <w:p>
      <w:pPr>
        <w:pStyle w:val="TextBody"/>
        <w:bidi w:val="0"/>
        <w:spacing w:before="0" w:after="240"/>
        <w:jc w:val="both"/>
        <w:rPr>
          <w:rFonts w:ascii="Times New Roman" w:hAnsi="Times New Roman"/>
          <w:sz w:val="18"/>
        </w:rPr>
      </w:pPr>
      <w:r>
        <w:rPr>
          <w:rFonts w:ascii="Times New Roman" w:hAnsi="Times New Roman"/>
          <w:sz w:val="18"/>
        </w:rPr>
        <w:t xml:space="preserve">Orange County Bancorp, Inc. is the parent company of Orange Bank &amp; Trust Company and Orange Investment Advisors, Inc. Orange Bank &amp; Trust Company is an independent bank that began with the vision of 14 founders over 125 years ago. It has grown through innovation and an unwavering commitment to its community and business clientele to approximately $2.8 billion in total assets. Orange Investment Advisors, Inc. is a Registered Investment Advisor in Goshen, NY. It was founded in 1996 and acquired by the Company in 2012. </w:t>
      </w:r>
    </w:p>
    <w:p>
      <w:pPr>
        <w:pStyle w:val="TextBody"/>
        <w:bidi w:val="0"/>
        <w:spacing w:before="0" w:after="60"/>
        <w:jc w:val="both"/>
        <w:rPr/>
      </w:pPr>
      <w:r>
        <w:rPr>
          <w:rFonts w:ascii="Times New Roman" w:hAnsi="Times New Roman"/>
          <w:b/>
          <w:color w:val="000000"/>
          <w:sz w:val="18"/>
        </w:rPr>
        <w:t>Forward Looking Statements</w:t>
      </w:r>
      <w:r>
        <w:rPr/>
        <w:t xml:space="preserve"> </w:t>
      </w:r>
    </w:p>
    <w:p>
      <w:pPr>
        <w:pStyle w:val="TextBody"/>
        <w:bidi w:val="0"/>
        <w:spacing w:before="0" w:after="120"/>
        <w:jc w:val="both"/>
        <w:rPr>
          <w:rFonts w:ascii="Times New Roman" w:hAnsi="Times New Roman"/>
          <w:sz w:val="18"/>
        </w:rPr>
      </w:pPr>
      <w:r>
        <w:rPr>
          <w:rFonts w:ascii="Times New Roman" w:hAnsi="Times New Roman"/>
          <w:sz w:val="18"/>
        </w:rPr>
        <w:t xml:space="preserve">Certain statements contained herein are “forward looking statements” within the meaning of Section 27A of the Securities Act of 1933 and Section 21E of the Securities Exchange Act of 1934. Such forward looking statements may be identified by reference to a future period or periods, or by the use of forward looking terminology, such as “may,” “will,” “believe,” “expect,” “estimate,” “anticipate,” “continue,” or similar terms or variations on those terms, or the negative of those terms. Forward looking statements are subject to numerous risks and uncertainties, including, but not limited to, those related to the real estate and economic environment, particularly in the market areas in which the Company operates, competitive products and pricing, fiscal and monetary policies of the U.S. Government, inflation, changes in government regulations affecting financial institutions, including regulatory fees and capital requirements, changes in prevailing interest rates, increased levels of loan delinquencies, problem assets and foreclosures, credit risk management, asset-liability management, cybersecurity risks, geopolitical conflicts, public health issues, the financial and securities markets and the availability of and costs associated with sources of liquidity. </w:t>
      </w:r>
    </w:p>
    <w:p>
      <w:pPr>
        <w:pStyle w:val="TextBody"/>
        <w:bidi w:val="0"/>
        <w:spacing w:before="0" w:after="240"/>
        <w:jc w:val="both"/>
        <w:rPr/>
      </w:pPr>
      <w:r>
        <w:rPr>
          <w:rFonts w:ascii="Times New Roman" w:hAnsi="Times New Roman"/>
          <w:sz w:val="18"/>
        </w:rPr>
        <w:t>The Company wishes to caution readers not to place undue reliance on any such forward looking statements, which speak only as of the date made. The Company wishes to advise readers that the factors listed above could affect the Company’s financial performance and could cause the Company’s actual results for future periods to differ materially from any opinions or statements expressed with respect to future periods in any current statements. The Company does not undertake and specifically declines any obligation to publicly release the results of any revisions that may be made to any forward looking statements to reflect events or circumstances after the date of such statements or to reflect the occurrence of anticipated or unanticipated events.</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TextBody"/>
        <w:bidi w:val="0"/>
        <w:spacing w:before="0" w:after="0"/>
        <w:jc w:val="left"/>
        <w:rPr>
          <w:sz w:val="22"/>
        </w:rPr>
      </w:pPr>
      <w:r>
        <w:rPr>
          <w:rFonts w:ascii="Times New Roman" w:hAnsi="Times New Roman"/>
          <w:b/>
          <w:sz w:val="18"/>
        </w:rPr>
        <w:t>For further information:</w:t>
      </w:r>
      <w:r>
        <w:rPr>
          <w:sz w:val="22"/>
        </w:rPr>
        <w:t xml:space="preserve"> </w:t>
      </w:r>
    </w:p>
    <w:p>
      <w:pPr>
        <w:pStyle w:val="TextBody"/>
        <w:bidi w:val="0"/>
        <w:spacing w:before="0" w:after="0"/>
        <w:jc w:val="left"/>
        <w:rPr>
          <w:sz w:val="22"/>
        </w:rPr>
      </w:pPr>
      <w:r>
        <w:rPr>
          <w:rFonts w:ascii="Times New Roman" w:hAnsi="Times New Roman"/>
          <w:sz w:val="18"/>
        </w:rPr>
        <w:t>Michael Lesler</w:t>
      </w:r>
      <w:r>
        <w:rPr>
          <w:sz w:val="22"/>
        </w:rPr>
        <w:t xml:space="preserve"> </w:t>
      </w:r>
    </w:p>
    <w:p>
      <w:pPr>
        <w:pStyle w:val="TextBody"/>
        <w:bidi w:val="0"/>
        <w:spacing w:before="0" w:after="0"/>
        <w:jc w:val="left"/>
        <w:rPr>
          <w:sz w:val="22"/>
        </w:rPr>
      </w:pPr>
      <w:r>
        <w:rPr>
          <w:rFonts w:ascii="Times New Roman" w:hAnsi="Times New Roman"/>
          <w:sz w:val="18"/>
        </w:rPr>
        <w:t>EVP &amp; Chief Financial Officer</w:t>
      </w:r>
      <w:r>
        <w:rPr>
          <w:sz w:val="22"/>
        </w:rPr>
        <w:t xml:space="preserve"> </w:t>
      </w:r>
    </w:p>
    <w:p>
      <w:pPr>
        <w:pStyle w:val="TextBody"/>
        <w:bidi w:val="0"/>
        <w:spacing w:before="0" w:after="0"/>
        <w:jc w:val="left"/>
        <w:rPr>
          <w:sz w:val="22"/>
        </w:rPr>
      </w:pPr>
      <w:r>
        <w:rPr>
          <w:rFonts w:ascii="Times New Roman" w:hAnsi="Times New Roman"/>
          <w:color w:val="0563C1"/>
          <w:sz w:val="18"/>
        </w:rPr>
        <w:t>mlesler@orangebanktrust.com</w:t>
      </w:r>
      <w:r>
        <w:rPr>
          <w:sz w:val="22"/>
        </w:rPr>
        <w:t xml:space="preserve"> </w:t>
      </w:r>
    </w:p>
    <w:p>
      <w:pPr>
        <w:pStyle w:val="TextBody"/>
        <w:bidi w:val="0"/>
        <w:spacing w:before="0" w:after="0"/>
        <w:jc w:val="left"/>
        <w:rPr>
          <w:sz w:val="22"/>
        </w:rPr>
      </w:pPr>
      <w:r>
        <w:rPr>
          <w:rFonts w:ascii="Times New Roman" w:hAnsi="Times New Roman"/>
          <w:sz w:val="18"/>
        </w:rPr>
        <w:t>Phone: (845) 341-5111</w:t>
      </w:r>
      <w:r>
        <w:rPr>
          <w:sz w:val="22"/>
        </w:rPr>
        <w:t xml:space="preserve"> </w:t>
      </w:r>
    </w:p>
    <w:p>
      <w:pPr>
        <w:pStyle w:val="TextBody"/>
        <w:bidi w:val="0"/>
        <w:spacing w:before="0" w:after="150"/>
        <w:ind w:left="0" w:right="0" w:hanging="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rFonts w:ascii="Times New Roman" w:hAnsi="Times New Roman"/>
          <w:b/>
          <w:sz w:val="20"/>
        </w:rPr>
        <w:t>ORANGE COUNTY BANCORP, INC.</w:t>
      </w:r>
      <w:r>
        <w:rPr/>
        <w:t xml:space="preserve"> </w:t>
      </w:r>
    </w:p>
    <w:p>
      <w:pPr>
        <w:pStyle w:val="TextBody"/>
        <w:bidi w:val="0"/>
        <w:spacing w:before="0" w:after="0"/>
        <w:jc w:val="center"/>
        <w:rPr/>
      </w:pPr>
      <w:r>
        <w:rPr>
          <w:rFonts w:ascii="Times New Roman" w:hAnsi="Times New Roman"/>
          <w:b/>
          <w:sz w:val="20"/>
        </w:rPr>
        <w:t>CONDENSED CONSOLIDATED STATEMENTS OF CONDITION</w:t>
      </w:r>
      <w:r>
        <w:rPr/>
        <w:t xml:space="preserve"> </w:t>
      </w:r>
    </w:p>
    <w:p>
      <w:pPr>
        <w:pStyle w:val="TextBody"/>
        <w:bidi w:val="0"/>
        <w:spacing w:before="0" w:after="0"/>
        <w:jc w:val="center"/>
        <w:rPr/>
      </w:pPr>
      <w:r>
        <w:rPr>
          <w:rFonts w:ascii="Times New Roman" w:hAnsi="Times New Roman"/>
          <w:b/>
          <w:sz w:val="20"/>
        </w:rPr>
        <w:t>(UNAUDITED)</w:t>
      </w:r>
      <w:r>
        <w:rPr/>
        <w:t xml:space="preserve"> </w:t>
      </w:r>
    </w:p>
    <w:p>
      <w:pPr>
        <w:pStyle w:val="TextBody"/>
        <w:bidi w:val="0"/>
        <w:spacing w:before="0" w:after="0"/>
        <w:jc w:val="center"/>
        <w:rPr/>
      </w:pPr>
      <w:r>
        <w:rPr>
          <w:rFonts w:ascii="Times New Roman" w:hAnsi="Times New Roman"/>
          <w:sz w:val="18"/>
        </w:rPr>
        <w:t>(Dollar Amounts in thousands except per share data)</w:t>
      </w:r>
      <w:r>
        <w:rPr/>
        <w:t xml:space="preserve"> </w:t>
      </w:r>
    </w:p>
    <w:p>
      <w:pPr>
        <w:pStyle w:val="TextBody"/>
        <w:bidi w:val="0"/>
        <w:spacing w:before="0" w:after="0"/>
        <w:jc w:val="center"/>
        <w:rPr/>
      </w:pPr>
      <w:r>
        <w:rPr/>
        <w:t xml:space="preserve">  </w:t>
      </w:r>
    </w:p>
    <w:p>
      <w:pPr>
        <w:pStyle w:val="TextBody"/>
        <w:bidi w:val="0"/>
        <w:spacing w:before="0" w:after="0"/>
        <w:jc w:val="center"/>
        <w:rPr/>
      </w:pPr>
      <w:r>
        <w:rPr/>
        <w:t xml:space="preserve">  </w:t>
      </w:r>
    </w:p>
    <w:tbl>
      <w:tblPr>
        <w:tblW w:w="10205" w:type="dxa"/>
        <w:jc w:val="left"/>
        <w:tblInd w:w="0" w:type="dxa"/>
        <w:tblLayout w:type="fixed"/>
        <w:tblCellMar>
          <w:top w:w="28" w:type="dxa"/>
          <w:left w:w="28" w:type="dxa"/>
          <w:bottom w:w="28" w:type="dxa"/>
          <w:right w:w="28" w:type="dxa"/>
        </w:tblCellMar>
      </w:tblPr>
      <w:tblGrid>
        <w:gridCol w:w="7183"/>
        <w:gridCol w:w="352"/>
        <w:gridCol w:w="222"/>
        <w:gridCol w:w="912"/>
        <w:gridCol w:w="352"/>
        <w:gridCol w:w="222"/>
        <w:gridCol w:w="962"/>
      </w:tblGrid>
      <w:tr>
        <w:trPr/>
        <w:tc>
          <w:tcPr>
            <w:tcW w:w="7183" w:type="dxa"/>
            <w:tcBorders/>
            <w:vAlign w:val="center"/>
          </w:tcPr>
          <w:p>
            <w:pPr>
              <w:pStyle w:val="TableContents"/>
              <w:bidi w:val="0"/>
              <w:spacing w:before="0" w:after="1"/>
              <w:jc w:val="left"/>
              <w:rPr/>
            </w:pP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t xml:space="preserve">  </w:t>
            </w:r>
          </w:p>
        </w:tc>
        <w:tc>
          <w:tcPr>
            <w:tcW w:w="912" w:type="dxa"/>
            <w:tcBorders/>
            <w:vAlign w:val="center"/>
          </w:tcPr>
          <w:p>
            <w:pPr>
              <w:pStyle w:val="TableContents"/>
              <w:bidi w:val="0"/>
              <w:spacing w:before="0" w:after="1"/>
              <w:jc w:val="left"/>
              <w:rPr/>
            </w:pP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t xml:space="preserve">  </w:t>
            </w:r>
          </w:p>
        </w:tc>
        <w:tc>
          <w:tcPr>
            <w:tcW w:w="962" w:type="dxa"/>
            <w:tcBorders/>
            <w:vAlign w:val="center"/>
          </w:tcPr>
          <w:p>
            <w:pPr>
              <w:pStyle w:val="TableContents"/>
              <w:bidi w:val="0"/>
              <w:spacing w:before="0" w:after="1"/>
              <w:jc w:val="left"/>
              <w:rPr/>
            </w:pPr>
            <w:r>
              <w:rPr/>
              <w:t xml:space="preserve">  </w:t>
            </w:r>
          </w:p>
        </w:tc>
      </w:tr>
      <w:tr>
        <w:trPr/>
        <w:tc>
          <w:tcPr>
            <w:tcW w:w="7183" w:type="dxa"/>
            <w:tcBorders/>
            <w:vAlign w:val="center"/>
          </w:tcPr>
          <w:p>
            <w:pPr>
              <w:pStyle w:val="TableContents"/>
              <w:bidi w:val="0"/>
              <w:spacing w:before="0" w:after="1"/>
              <w:jc w:val="left"/>
              <w:rPr/>
            </w:pPr>
            <w:r>
              <w:rPr/>
              <w:t xml:space="preserve">  </w:t>
            </w:r>
          </w:p>
        </w:tc>
        <w:tc>
          <w:tcPr>
            <w:tcW w:w="352" w:type="dxa"/>
            <w:tcBorders/>
            <w:vAlign w:val="center"/>
          </w:tcPr>
          <w:p>
            <w:pPr>
              <w:pStyle w:val="TableContents"/>
              <w:bidi w:val="0"/>
              <w:spacing w:before="0" w:after="1"/>
              <w:jc w:val="center"/>
              <w:rPr/>
            </w:pPr>
            <w:r>
              <w:rPr>
                <w:color w:val="000000"/>
              </w:rPr>
              <w:t>    </w:t>
            </w:r>
            <w:r>
              <w:rPr/>
              <w:t xml:space="preserve"> </w:t>
            </w:r>
          </w:p>
        </w:tc>
        <w:tc>
          <w:tcPr>
            <w:tcW w:w="1134"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June 30,</w:t>
            </w:r>
            <w:r>
              <w:rPr/>
              <w:t xml:space="preserve"> </w:t>
            </w:r>
          </w:p>
        </w:tc>
        <w:tc>
          <w:tcPr>
            <w:tcW w:w="352" w:type="dxa"/>
            <w:tcBorders/>
            <w:vAlign w:val="center"/>
          </w:tcPr>
          <w:p>
            <w:pPr>
              <w:pStyle w:val="TableContents"/>
              <w:bidi w:val="0"/>
              <w:spacing w:before="0" w:after="1"/>
              <w:jc w:val="center"/>
              <w:rPr/>
            </w:pPr>
            <w:r>
              <w:rPr>
                <w:color w:val="000000"/>
              </w:rPr>
              <w:t>    </w:t>
            </w:r>
            <w:r>
              <w:rPr/>
              <w:t xml:space="preserve"> </w:t>
            </w:r>
          </w:p>
        </w:tc>
        <w:tc>
          <w:tcPr>
            <w:tcW w:w="1184"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December 31,</w:t>
            </w:r>
            <w:r>
              <w:rPr/>
              <w:t xml:space="preserve"> </w:t>
            </w:r>
          </w:p>
        </w:tc>
      </w:tr>
      <w:tr>
        <w:trPr/>
        <w:tc>
          <w:tcPr>
            <w:tcW w:w="7183" w:type="dxa"/>
            <w:tcBorders/>
            <w:vAlign w:val="center"/>
          </w:tcPr>
          <w:p>
            <w:pPr>
              <w:pStyle w:val="TableContents"/>
              <w:bidi w:val="0"/>
              <w:spacing w:before="0" w:after="1"/>
              <w:jc w:val="left"/>
              <w:rPr/>
            </w:pPr>
            <w:r>
              <w:rPr/>
              <w:t xml:space="preserve">  </w:t>
            </w:r>
          </w:p>
        </w:tc>
        <w:tc>
          <w:tcPr>
            <w:tcW w:w="352" w:type="dxa"/>
            <w:tcBorders/>
            <w:vAlign w:val="center"/>
          </w:tcPr>
          <w:p>
            <w:pPr>
              <w:pStyle w:val="TableContents"/>
              <w:bidi w:val="0"/>
              <w:spacing w:before="0" w:after="1"/>
              <w:jc w:val="center"/>
              <w:rPr/>
            </w:pPr>
            <w:r>
              <w:rPr/>
              <w:t xml:space="preserve">  </w:t>
            </w:r>
          </w:p>
        </w:tc>
        <w:tc>
          <w:tcPr>
            <w:tcW w:w="1134"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2026</w:t>
            </w:r>
            <w:r>
              <w:rPr/>
              <w:t xml:space="preserve"> </w:t>
            </w:r>
          </w:p>
        </w:tc>
        <w:tc>
          <w:tcPr>
            <w:tcW w:w="352" w:type="dxa"/>
            <w:tcBorders/>
            <w:vAlign w:val="center"/>
          </w:tcPr>
          <w:p>
            <w:pPr>
              <w:pStyle w:val="TableContents"/>
              <w:bidi w:val="0"/>
              <w:spacing w:before="0" w:after="1"/>
              <w:jc w:val="center"/>
              <w:rPr/>
            </w:pPr>
            <w:r>
              <w:rPr/>
              <w:t xml:space="preserve">  </w:t>
            </w:r>
          </w:p>
        </w:tc>
        <w:tc>
          <w:tcPr>
            <w:tcW w:w="1184"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2025</w:t>
            </w:r>
            <w:r>
              <w:rPr/>
              <w:t xml:space="preserve"> </w:t>
            </w:r>
          </w:p>
        </w:tc>
      </w:tr>
      <w:tr>
        <w:trPr/>
        <w:tc>
          <w:tcPr>
            <w:tcW w:w="7183" w:type="dxa"/>
            <w:tcBorders/>
            <w:vAlign w:val="center"/>
          </w:tcPr>
          <w:p>
            <w:pPr>
              <w:pStyle w:val="TableContents"/>
              <w:bidi w:val="0"/>
              <w:spacing w:before="0" w:after="1"/>
              <w:ind w:left="240" w:right="0" w:hanging="0"/>
              <w:jc w:val="left"/>
              <w:rPr/>
            </w:pPr>
            <w:r>
              <w:rPr>
                <w:rFonts w:ascii="Times New Roman" w:hAnsi="Times New Roman"/>
                <w:b/>
                <w:color w:val="000000"/>
                <w:sz w:val="18"/>
              </w:rPr>
              <w:t>ASSETS</w:t>
            </w:r>
            <w:r>
              <w:rPr/>
              <w:t xml:space="preserve"> </w:t>
            </w:r>
          </w:p>
        </w:tc>
        <w:tc>
          <w:tcPr>
            <w:tcW w:w="352" w:type="dxa"/>
            <w:tcBorders/>
            <w:vAlign w:val="center"/>
          </w:tcPr>
          <w:p>
            <w:pPr>
              <w:pStyle w:val="TableContents"/>
              <w:bidi w:val="0"/>
              <w:spacing w:before="0" w:after="1"/>
              <w:jc w:val="center"/>
              <w:rPr/>
            </w:pPr>
            <w:r>
              <w:rPr/>
              <w:t xml:space="preserve">  </w:t>
            </w:r>
          </w:p>
        </w:tc>
        <w:tc>
          <w:tcPr>
            <w:tcW w:w="222" w:type="dxa"/>
            <w:tcBorders/>
            <w:vAlign w:val="center"/>
          </w:tcPr>
          <w:p>
            <w:pPr>
              <w:pStyle w:val="TableContents"/>
              <w:bidi w:val="0"/>
              <w:spacing w:before="0" w:after="1"/>
              <w:jc w:val="center"/>
              <w:rPr/>
            </w:pPr>
            <w:r>
              <w:rPr/>
              <w:t xml:space="preserve">  </w:t>
            </w:r>
          </w:p>
        </w:tc>
        <w:tc>
          <w:tcPr>
            <w:tcW w:w="912" w:type="dxa"/>
            <w:tcBorders/>
            <w:vAlign w:val="center"/>
          </w:tcPr>
          <w:p>
            <w:pPr>
              <w:pStyle w:val="TableContents"/>
              <w:bidi w:val="0"/>
              <w:spacing w:before="0" w:after="1"/>
              <w:jc w:val="center"/>
              <w:rPr/>
            </w:pPr>
            <w:r>
              <w:rPr/>
              <w:t xml:space="preserve">  </w:t>
            </w:r>
          </w:p>
        </w:tc>
        <w:tc>
          <w:tcPr>
            <w:tcW w:w="352" w:type="dxa"/>
            <w:tcBorders/>
            <w:vAlign w:val="center"/>
          </w:tcPr>
          <w:p>
            <w:pPr>
              <w:pStyle w:val="TableContents"/>
              <w:bidi w:val="0"/>
              <w:spacing w:before="0" w:after="1"/>
              <w:jc w:val="center"/>
              <w:rPr/>
            </w:pPr>
            <w:r>
              <w:rPr/>
              <w:t xml:space="preserve">  </w:t>
            </w:r>
          </w:p>
        </w:tc>
        <w:tc>
          <w:tcPr>
            <w:tcW w:w="222" w:type="dxa"/>
            <w:tcBorders/>
            <w:vAlign w:val="center"/>
          </w:tcPr>
          <w:p>
            <w:pPr>
              <w:pStyle w:val="TableContents"/>
              <w:bidi w:val="0"/>
              <w:spacing w:before="0" w:after="1"/>
              <w:jc w:val="center"/>
              <w:rPr/>
            </w:pPr>
            <w:r>
              <w:rPr/>
              <w:t xml:space="preserve">  </w:t>
            </w:r>
          </w:p>
        </w:tc>
        <w:tc>
          <w:tcPr>
            <w:tcW w:w="962" w:type="dxa"/>
            <w:tcBorders/>
            <w:vAlign w:val="center"/>
          </w:tcPr>
          <w:p>
            <w:pPr>
              <w:pStyle w:val="TableContents"/>
              <w:bidi w:val="0"/>
              <w:spacing w:before="0" w:after="1"/>
              <w:jc w:val="center"/>
              <w:rPr/>
            </w:pPr>
            <w:r>
              <w:rPr/>
              <w:t xml:space="preserve">  </w:t>
            </w:r>
          </w:p>
        </w:tc>
      </w:tr>
      <w:tr>
        <w:trPr/>
        <w:tc>
          <w:tcPr>
            <w:tcW w:w="7183" w:type="dxa"/>
            <w:tcBorders/>
            <w:vAlign w:val="center"/>
          </w:tcPr>
          <w:p>
            <w:pPr>
              <w:pStyle w:val="TableContents"/>
              <w:bidi w:val="0"/>
              <w:spacing w:before="0" w:after="1"/>
              <w:jc w:val="left"/>
              <w:rPr/>
            </w:pPr>
            <w:r>
              <w:rPr>
                <w:rFonts w:ascii="Times New Roman" w:hAnsi="Times New Roman"/>
                <w:color w:val="000000"/>
                <w:sz w:val="18"/>
              </w:rPr>
              <w:t>Cash and due from banks</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12" w:type="dxa"/>
            <w:tcBorders/>
            <w:vAlign w:val="center"/>
          </w:tcPr>
          <w:p>
            <w:pPr>
              <w:pStyle w:val="TableContents"/>
              <w:bidi w:val="0"/>
              <w:spacing w:before="0" w:after="1"/>
              <w:ind w:left="0" w:right="60" w:hanging="0"/>
              <w:jc w:val="right"/>
              <w:rPr/>
            </w:pPr>
            <w:r>
              <w:rPr>
                <w:rFonts w:ascii="Times New Roman" w:hAnsi="Times New Roman"/>
                <w:color w:val="000000"/>
                <w:sz w:val="18"/>
              </w:rPr>
              <w:t>334,925</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62" w:type="dxa"/>
            <w:tcBorders/>
            <w:vAlign w:val="center"/>
          </w:tcPr>
          <w:p>
            <w:pPr>
              <w:pStyle w:val="TableContents"/>
              <w:bidi w:val="0"/>
              <w:spacing w:before="0" w:after="1"/>
              <w:ind w:left="0" w:right="60" w:hanging="0"/>
              <w:jc w:val="right"/>
              <w:rPr/>
            </w:pPr>
            <w:r>
              <w:rPr>
                <w:rFonts w:ascii="Times New Roman" w:hAnsi="Times New Roman"/>
                <w:color w:val="000000"/>
                <w:sz w:val="18"/>
              </w:rPr>
              <w:t>204,232</w:t>
            </w:r>
            <w:r>
              <w:rPr/>
              <w:t xml:space="preserve"> </w:t>
            </w:r>
          </w:p>
        </w:tc>
      </w:tr>
      <w:tr>
        <w:trPr/>
        <w:tc>
          <w:tcPr>
            <w:tcW w:w="7183" w:type="dxa"/>
            <w:tcBorders/>
            <w:vAlign w:val="center"/>
          </w:tcPr>
          <w:p>
            <w:pPr>
              <w:pStyle w:val="TableContents"/>
              <w:bidi w:val="0"/>
              <w:spacing w:before="0" w:after="1"/>
              <w:jc w:val="left"/>
              <w:rPr/>
            </w:pPr>
            <w:r>
              <w:rPr>
                <w:rFonts w:ascii="Times New Roman" w:hAnsi="Times New Roman"/>
                <w:color w:val="000000"/>
                <w:sz w:val="18"/>
              </w:rPr>
              <w:t>Investment securities – available-for-sale</w:t>
              <w:br/>
              <w:t>(amortized cost $450,934, net of allowance for credit losses of $0 at June 30, 2026 and $472,097, net of allowance for credit losses of $0 at December 31, 2025)</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12" w:type="dxa"/>
            <w:tcBorders/>
            <w:vAlign w:val="center"/>
          </w:tcPr>
          <w:p>
            <w:pPr>
              <w:pStyle w:val="TableContents"/>
              <w:bidi w:val="0"/>
              <w:spacing w:before="0" w:after="1"/>
              <w:ind w:left="0" w:right="60" w:hanging="0"/>
              <w:jc w:val="right"/>
              <w:rPr/>
            </w:pPr>
            <w:r>
              <w:rPr>
                <w:rFonts w:ascii="Times New Roman" w:hAnsi="Times New Roman"/>
                <w:color w:val="000000"/>
                <w:sz w:val="18"/>
              </w:rPr>
              <w:t>395,906</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62" w:type="dxa"/>
            <w:tcBorders/>
            <w:vAlign w:val="center"/>
          </w:tcPr>
          <w:p>
            <w:pPr>
              <w:pStyle w:val="TableContents"/>
              <w:bidi w:val="0"/>
              <w:spacing w:before="0" w:after="1"/>
              <w:ind w:left="0" w:right="60" w:hanging="0"/>
              <w:jc w:val="right"/>
              <w:rPr/>
            </w:pPr>
            <w:r>
              <w:rPr>
                <w:rFonts w:ascii="Times New Roman" w:hAnsi="Times New Roman"/>
                <w:color w:val="000000"/>
                <w:sz w:val="18"/>
              </w:rPr>
              <w:t>419,406</w:t>
            </w:r>
            <w:r>
              <w:rPr/>
              <w:t xml:space="preserve"> </w:t>
            </w:r>
          </w:p>
        </w:tc>
      </w:tr>
      <w:tr>
        <w:trPr/>
        <w:tc>
          <w:tcPr>
            <w:tcW w:w="7183" w:type="dxa"/>
            <w:tcBorders/>
            <w:vAlign w:val="center"/>
          </w:tcPr>
          <w:p>
            <w:pPr>
              <w:pStyle w:val="TableContents"/>
              <w:bidi w:val="0"/>
              <w:spacing w:before="0" w:after="1"/>
              <w:jc w:val="left"/>
              <w:rPr/>
            </w:pPr>
            <w:r>
              <w:rPr>
                <w:rFonts w:ascii="Times New Roman" w:hAnsi="Times New Roman"/>
                <w:color w:val="000000"/>
                <w:sz w:val="18"/>
              </w:rPr>
              <w:t>Restricted investment in bank stocks</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12" w:type="dxa"/>
            <w:tcBorders/>
            <w:vAlign w:val="center"/>
          </w:tcPr>
          <w:p>
            <w:pPr>
              <w:pStyle w:val="TableContents"/>
              <w:bidi w:val="0"/>
              <w:spacing w:before="0" w:after="1"/>
              <w:ind w:left="0" w:right="60" w:hanging="0"/>
              <w:jc w:val="right"/>
              <w:rPr/>
            </w:pPr>
            <w:r>
              <w:rPr>
                <w:rFonts w:ascii="Times New Roman" w:hAnsi="Times New Roman"/>
                <w:color w:val="000000"/>
                <w:sz w:val="18"/>
              </w:rPr>
              <w:t>6,024</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62" w:type="dxa"/>
            <w:tcBorders/>
            <w:vAlign w:val="center"/>
          </w:tcPr>
          <w:p>
            <w:pPr>
              <w:pStyle w:val="TableContents"/>
              <w:bidi w:val="0"/>
              <w:spacing w:before="0" w:after="1"/>
              <w:ind w:left="0" w:right="60" w:hanging="0"/>
              <w:jc w:val="right"/>
              <w:rPr/>
            </w:pPr>
            <w:r>
              <w:rPr>
                <w:rFonts w:ascii="Times New Roman" w:hAnsi="Times New Roman"/>
                <w:color w:val="000000"/>
                <w:sz w:val="18"/>
              </w:rPr>
              <w:t>5,917</w:t>
            </w:r>
            <w:r>
              <w:rPr/>
              <w:t xml:space="preserve"> </w:t>
            </w:r>
          </w:p>
        </w:tc>
      </w:tr>
      <w:tr>
        <w:trPr/>
        <w:tc>
          <w:tcPr>
            <w:tcW w:w="7183" w:type="dxa"/>
            <w:tcBorders/>
            <w:vAlign w:val="center"/>
          </w:tcPr>
          <w:p>
            <w:pPr>
              <w:pStyle w:val="TableContents"/>
              <w:bidi w:val="0"/>
              <w:spacing w:before="0" w:after="1"/>
              <w:jc w:val="left"/>
              <w:rPr/>
            </w:pPr>
            <w:r>
              <w:rPr>
                <w:rFonts w:ascii="Times New Roman" w:hAnsi="Times New Roman"/>
                <w:color w:val="000000"/>
                <w:sz w:val="18"/>
              </w:rPr>
              <w:t>Loans held-for-sale, net</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t xml:space="preserve">  </w:t>
            </w:r>
          </w:p>
        </w:tc>
        <w:tc>
          <w:tcPr>
            <w:tcW w:w="912" w:type="dxa"/>
            <w:tcBorders/>
            <w:vAlign w:val="center"/>
          </w:tcPr>
          <w:p>
            <w:pPr>
              <w:pStyle w:val="TableContents"/>
              <w:bidi w:val="0"/>
              <w:spacing w:before="0" w:after="1"/>
              <w:ind w:left="0" w:right="60" w:hanging="0"/>
              <w:jc w:val="right"/>
              <w:rPr/>
            </w:pPr>
            <w:r>
              <w:rPr>
                <w:rFonts w:ascii="Times New Roman" w:hAnsi="Times New Roman"/>
                <w:color w:val="000000"/>
                <w:sz w:val="18"/>
              </w:rPr>
              <w:t>63,594</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t xml:space="preserve">  </w:t>
            </w:r>
          </w:p>
        </w:tc>
        <w:tc>
          <w:tcPr>
            <w:tcW w:w="962" w:type="dxa"/>
            <w:tcBorders/>
            <w:vAlign w:val="center"/>
          </w:tcPr>
          <w:p>
            <w:pPr>
              <w:pStyle w:val="TableContents"/>
              <w:bidi w:val="0"/>
              <w:spacing w:before="0" w:after="1"/>
              <w:ind w:left="0" w:right="60" w:hanging="0"/>
              <w:jc w:val="right"/>
              <w:rPr/>
            </w:pPr>
            <w:r>
              <w:rPr>
                <w:color w:val="000000"/>
              </w:rPr>
              <w:t>—</w:t>
            </w:r>
            <w:r>
              <w:rPr/>
              <w:t xml:space="preserve"> </w:t>
            </w:r>
          </w:p>
        </w:tc>
      </w:tr>
      <w:tr>
        <w:trPr/>
        <w:tc>
          <w:tcPr>
            <w:tcW w:w="7183" w:type="dxa"/>
            <w:tcBorders/>
            <w:vAlign w:val="center"/>
          </w:tcPr>
          <w:p>
            <w:pPr>
              <w:pStyle w:val="TableContents"/>
              <w:bidi w:val="0"/>
              <w:spacing w:before="0" w:after="1"/>
              <w:jc w:val="left"/>
              <w:rPr/>
            </w:pPr>
            <w:r>
              <w:rPr>
                <w:rFonts w:ascii="Times New Roman" w:hAnsi="Times New Roman"/>
                <w:color w:val="000000"/>
                <w:sz w:val="18"/>
              </w:rPr>
              <w:t>Loans</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12" w:type="dxa"/>
            <w:tcBorders/>
            <w:vAlign w:val="center"/>
          </w:tcPr>
          <w:p>
            <w:pPr>
              <w:pStyle w:val="TableContents"/>
              <w:bidi w:val="0"/>
              <w:spacing w:before="0" w:after="1"/>
              <w:ind w:left="0" w:right="60" w:hanging="0"/>
              <w:jc w:val="right"/>
              <w:rPr/>
            </w:pPr>
            <w:r>
              <w:rPr>
                <w:rFonts w:ascii="Times New Roman" w:hAnsi="Times New Roman"/>
                <w:color w:val="000000"/>
                <w:sz w:val="18"/>
              </w:rPr>
              <w:t>1,910,262</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62" w:type="dxa"/>
            <w:tcBorders/>
            <w:vAlign w:val="center"/>
          </w:tcPr>
          <w:p>
            <w:pPr>
              <w:pStyle w:val="TableContents"/>
              <w:bidi w:val="0"/>
              <w:spacing w:before="0" w:after="1"/>
              <w:ind w:left="0" w:right="60" w:hanging="0"/>
              <w:jc w:val="right"/>
              <w:rPr/>
            </w:pPr>
            <w:r>
              <w:rPr>
                <w:rFonts w:ascii="Times New Roman" w:hAnsi="Times New Roman"/>
                <w:color w:val="000000"/>
                <w:sz w:val="18"/>
              </w:rPr>
              <w:t>1,950,284</w:t>
            </w:r>
            <w:r>
              <w:rPr/>
              <w:t xml:space="preserve"> </w:t>
            </w:r>
          </w:p>
        </w:tc>
      </w:tr>
      <w:tr>
        <w:trPr/>
        <w:tc>
          <w:tcPr>
            <w:tcW w:w="7183"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Allowance for credit losses </w:t>
            </w:r>
          </w:p>
        </w:tc>
        <w:tc>
          <w:tcPr>
            <w:tcW w:w="352" w:type="dxa"/>
            <w:tcBorders/>
            <w:vAlign w:val="center"/>
          </w:tcPr>
          <w:p>
            <w:pPr>
              <w:pStyle w:val="TableContents"/>
              <w:bidi w:val="0"/>
              <w:spacing w:before="0" w:after="1"/>
              <w:jc w:val="left"/>
              <w:rPr/>
            </w:pPr>
            <w:r>
              <w:rPr/>
              <w:t xml:space="preserve">  </w:t>
            </w:r>
          </w:p>
        </w:tc>
        <w:tc>
          <w:tcPr>
            <w:tcW w:w="222"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912" w:type="dxa"/>
            <w:tcBorders>
              <w:bottom w:val="single" w:sz="8" w:space="0" w:color="000000"/>
            </w:tcBorders>
            <w:tcMar>
              <w:top w:w="0" w:type="dxa"/>
              <w:left w:w="0" w:type="dxa"/>
              <w:right w:w="0" w:type="dxa"/>
            </w:tcMar>
            <w:vAlign w:val="center"/>
          </w:tcPr>
          <w:p>
            <w:pPr>
              <w:pStyle w:val="TableContents"/>
              <w:bidi w:val="0"/>
              <w:spacing w:before="0" w:after="1"/>
              <w:jc w:val="right"/>
              <w:rPr/>
            </w:pPr>
            <w:r>
              <w:rPr>
                <w:rFonts w:ascii="Times New Roman" w:hAnsi="Times New Roman"/>
                <w:color w:val="000000"/>
                <w:sz w:val="18"/>
              </w:rPr>
              <w:t>(26,339)</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962" w:type="dxa"/>
            <w:tcBorders>
              <w:bottom w:val="single" w:sz="8" w:space="0" w:color="000000"/>
            </w:tcBorders>
            <w:tcMar>
              <w:top w:w="0" w:type="dxa"/>
              <w:left w:w="0" w:type="dxa"/>
              <w:right w:w="0" w:type="dxa"/>
            </w:tcMar>
            <w:vAlign w:val="center"/>
          </w:tcPr>
          <w:p>
            <w:pPr>
              <w:pStyle w:val="TableContents"/>
              <w:bidi w:val="0"/>
              <w:spacing w:before="0" w:after="1"/>
              <w:jc w:val="right"/>
              <w:rPr/>
            </w:pPr>
            <w:r>
              <w:rPr>
                <w:rFonts w:ascii="Times New Roman" w:hAnsi="Times New Roman"/>
                <w:color w:val="000000"/>
                <w:sz w:val="18"/>
              </w:rPr>
              <w:t>(28,335)</w:t>
            </w:r>
            <w:r>
              <w:rPr/>
              <w:t xml:space="preserve"> </w:t>
            </w:r>
          </w:p>
        </w:tc>
      </w:tr>
      <w:tr>
        <w:trPr/>
        <w:tc>
          <w:tcPr>
            <w:tcW w:w="7183" w:type="dxa"/>
            <w:tcBorders/>
            <w:vAlign w:val="center"/>
          </w:tcPr>
          <w:p>
            <w:pPr>
              <w:pStyle w:val="TableContents"/>
              <w:bidi w:val="0"/>
              <w:spacing w:before="0" w:after="1"/>
              <w:ind w:left="120" w:right="0" w:hanging="0"/>
              <w:jc w:val="left"/>
              <w:rPr/>
            </w:pPr>
            <w:r>
              <w:rPr>
                <w:rFonts w:ascii="Times New Roman" w:hAnsi="Times New Roman"/>
                <w:color w:val="000000"/>
                <w:sz w:val="18"/>
              </w:rPr>
              <w:t>Loans, net</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12" w:type="dxa"/>
            <w:tcBorders/>
            <w:vAlign w:val="center"/>
          </w:tcPr>
          <w:p>
            <w:pPr>
              <w:pStyle w:val="TableContents"/>
              <w:bidi w:val="0"/>
              <w:spacing w:before="0" w:after="1"/>
              <w:ind w:left="0" w:right="60" w:hanging="0"/>
              <w:jc w:val="right"/>
              <w:rPr/>
            </w:pPr>
            <w:r>
              <w:rPr>
                <w:rFonts w:ascii="Times New Roman" w:hAnsi="Times New Roman"/>
                <w:color w:val="000000"/>
                <w:sz w:val="18"/>
              </w:rPr>
              <w:t>1,883,923</w:t>
            </w:r>
            <w:r>
              <w:rPr/>
              <w:t xml:space="preserve"> </w:t>
            </w:r>
          </w:p>
        </w:tc>
        <w:tc>
          <w:tcPr>
            <w:tcW w:w="352" w:type="dxa"/>
            <w:tcBorders/>
            <w:vAlign w:val="center"/>
          </w:tcPr>
          <w:p>
            <w:pPr>
              <w:pStyle w:val="TableContents"/>
              <w:bidi w:val="0"/>
              <w:spacing w:before="0" w:after="1"/>
              <w:jc w:val="right"/>
              <w:rPr/>
            </w:pPr>
            <w:r>
              <w:rPr/>
              <w:t xml:space="preserve">  </w:t>
            </w:r>
          </w:p>
        </w:tc>
        <w:tc>
          <w:tcPr>
            <w:tcW w:w="222" w:type="dxa"/>
            <w:tcBorders/>
            <w:vAlign w:val="center"/>
          </w:tcPr>
          <w:p>
            <w:pPr>
              <w:pStyle w:val="TableContents"/>
              <w:bidi w:val="0"/>
              <w:spacing w:before="0" w:after="1"/>
              <w:jc w:val="right"/>
              <w:rPr/>
            </w:pPr>
            <w:r>
              <w:rPr/>
              <w:t xml:space="preserve">  </w:t>
            </w:r>
          </w:p>
        </w:tc>
        <w:tc>
          <w:tcPr>
            <w:tcW w:w="962" w:type="dxa"/>
            <w:tcBorders/>
            <w:vAlign w:val="center"/>
          </w:tcPr>
          <w:p>
            <w:pPr>
              <w:pStyle w:val="TableContents"/>
              <w:bidi w:val="0"/>
              <w:spacing w:before="0" w:after="1"/>
              <w:ind w:left="0" w:right="60" w:hanging="0"/>
              <w:jc w:val="right"/>
              <w:rPr/>
            </w:pPr>
            <w:r>
              <w:rPr>
                <w:rFonts w:ascii="Times New Roman" w:hAnsi="Times New Roman"/>
                <w:color w:val="000000"/>
                <w:sz w:val="18"/>
              </w:rPr>
              <w:t>1,921,949</w:t>
            </w:r>
            <w:r>
              <w:rPr/>
              <w:t xml:space="preserve"> </w:t>
            </w:r>
          </w:p>
        </w:tc>
      </w:tr>
      <w:tr>
        <w:trPr/>
        <w:tc>
          <w:tcPr>
            <w:tcW w:w="7183" w:type="dxa"/>
            <w:tcBorders/>
            <w:vAlign w:val="center"/>
          </w:tcPr>
          <w:p>
            <w:pPr>
              <w:pStyle w:val="TableContents"/>
              <w:bidi w:val="0"/>
              <w:spacing w:before="0" w:after="1"/>
              <w:jc w:val="left"/>
              <w:rPr/>
            </w:pPr>
            <w:r>
              <w:rPr>
                <w:rFonts w:ascii="Times New Roman" w:hAnsi="Times New Roman"/>
                <w:color w:val="000000"/>
                <w:sz w:val="18"/>
              </w:rPr>
              <w:t>Premises and equipment, net</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12" w:type="dxa"/>
            <w:tcBorders/>
            <w:vAlign w:val="center"/>
          </w:tcPr>
          <w:p>
            <w:pPr>
              <w:pStyle w:val="TableContents"/>
              <w:bidi w:val="0"/>
              <w:spacing w:before="0" w:after="1"/>
              <w:ind w:left="0" w:right="60" w:hanging="0"/>
              <w:jc w:val="right"/>
              <w:rPr/>
            </w:pPr>
            <w:r>
              <w:rPr>
                <w:rFonts w:ascii="Times New Roman" w:hAnsi="Times New Roman"/>
                <w:color w:val="000000"/>
                <w:sz w:val="18"/>
              </w:rPr>
              <w:t>15,459</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62" w:type="dxa"/>
            <w:tcBorders/>
            <w:vAlign w:val="center"/>
          </w:tcPr>
          <w:p>
            <w:pPr>
              <w:pStyle w:val="TableContents"/>
              <w:bidi w:val="0"/>
              <w:spacing w:before="0" w:after="1"/>
              <w:ind w:left="0" w:right="60" w:hanging="0"/>
              <w:jc w:val="right"/>
              <w:rPr/>
            </w:pPr>
            <w:r>
              <w:rPr>
                <w:rFonts w:ascii="Times New Roman" w:hAnsi="Times New Roman"/>
                <w:color w:val="000000"/>
                <w:sz w:val="18"/>
              </w:rPr>
              <w:t>15,482</w:t>
            </w:r>
            <w:r>
              <w:rPr/>
              <w:t xml:space="preserve"> </w:t>
            </w:r>
          </w:p>
        </w:tc>
      </w:tr>
      <w:tr>
        <w:trPr/>
        <w:tc>
          <w:tcPr>
            <w:tcW w:w="7183" w:type="dxa"/>
            <w:tcBorders/>
            <w:vAlign w:val="center"/>
          </w:tcPr>
          <w:p>
            <w:pPr>
              <w:pStyle w:val="TableContents"/>
              <w:bidi w:val="0"/>
              <w:spacing w:before="0" w:after="1"/>
              <w:jc w:val="left"/>
              <w:rPr/>
            </w:pPr>
            <w:r>
              <w:rPr>
                <w:rFonts w:ascii="Times New Roman" w:hAnsi="Times New Roman"/>
                <w:color w:val="000000"/>
                <w:sz w:val="18"/>
              </w:rPr>
              <w:t>Accrued interest receivable</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12" w:type="dxa"/>
            <w:tcBorders/>
            <w:vAlign w:val="center"/>
          </w:tcPr>
          <w:p>
            <w:pPr>
              <w:pStyle w:val="TableContents"/>
              <w:bidi w:val="0"/>
              <w:spacing w:before="0" w:after="1"/>
              <w:ind w:left="0" w:right="60" w:hanging="0"/>
              <w:jc w:val="right"/>
              <w:rPr/>
            </w:pPr>
            <w:r>
              <w:rPr>
                <w:rFonts w:ascii="Times New Roman" w:hAnsi="Times New Roman"/>
                <w:color w:val="000000"/>
                <w:sz w:val="18"/>
              </w:rPr>
              <w:t>10,788</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62" w:type="dxa"/>
            <w:tcBorders/>
            <w:vAlign w:val="center"/>
          </w:tcPr>
          <w:p>
            <w:pPr>
              <w:pStyle w:val="TableContents"/>
              <w:bidi w:val="0"/>
              <w:spacing w:before="0" w:after="1"/>
              <w:ind w:left="0" w:right="60" w:hanging="0"/>
              <w:jc w:val="right"/>
              <w:rPr/>
            </w:pPr>
            <w:r>
              <w:rPr>
                <w:rFonts w:ascii="Times New Roman" w:hAnsi="Times New Roman"/>
                <w:color w:val="000000"/>
                <w:sz w:val="18"/>
              </w:rPr>
              <w:t>10,383</w:t>
            </w:r>
            <w:r>
              <w:rPr/>
              <w:t xml:space="preserve"> </w:t>
            </w:r>
          </w:p>
        </w:tc>
      </w:tr>
      <w:tr>
        <w:trPr/>
        <w:tc>
          <w:tcPr>
            <w:tcW w:w="7183" w:type="dxa"/>
            <w:tcBorders/>
            <w:vAlign w:val="center"/>
          </w:tcPr>
          <w:p>
            <w:pPr>
              <w:pStyle w:val="TableContents"/>
              <w:bidi w:val="0"/>
              <w:spacing w:before="0" w:after="1"/>
              <w:jc w:val="left"/>
              <w:rPr/>
            </w:pPr>
            <w:r>
              <w:rPr>
                <w:rFonts w:ascii="Times New Roman" w:hAnsi="Times New Roman"/>
                <w:color w:val="000000"/>
                <w:sz w:val="18"/>
              </w:rPr>
              <w:t>Bank owned life insurance</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12" w:type="dxa"/>
            <w:tcBorders/>
            <w:vAlign w:val="center"/>
          </w:tcPr>
          <w:p>
            <w:pPr>
              <w:pStyle w:val="TableContents"/>
              <w:bidi w:val="0"/>
              <w:spacing w:before="0" w:after="1"/>
              <w:ind w:left="0" w:right="60" w:hanging="0"/>
              <w:jc w:val="right"/>
              <w:rPr/>
            </w:pPr>
            <w:r>
              <w:rPr>
                <w:rFonts w:ascii="Times New Roman" w:hAnsi="Times New Roman"/>
                <w:color w:val="000000"/>
                <w:sz w:val="18"/>
              </w:rPr>
              <w:t>32,965</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62" w:type="dxa"/>
            <w:tcBorders/>
            <w:vAlign w:val="center"/>
          </w:tcPr>
          <w:p>
            <w:pPr>
              <w:pStyle w:val="TableContents"/>
              <w:bidi w:val="0"/>
              <w:spacing w:before="0" w:after="1"/>
              <w:ind w:left="0" w:right="60" w:hanging="0"/>
              <w:jc w:val="right"/>
              <w:rPr/>
            </w:pPr>
            <w:r>
              <w:rPr>
                <w:rFonts w:ascii="Times New Roman" w:hAnsi="Times New Roman"/>
                <w:color w:val="000000"/>
                <w:sz w:val="18"/>
              </w:rPr>
              <w:t>32,578</w:t>
            </w:r>
            <w:r>
              <w:rPr/>
              <w:t xml:space="preserve"> </w:t>
            </w:r>
          </w:p>
        </w:tc>
      </w:tr>
      <w:tr>
        <w:trPr/>
        <w:tc>
          <w:tcPr>
            <w:tcW w:w="7183" w:type="dxa"/>
            <w:tcBorders/>
            <w:vAlign w:val="center"/>
          </w:tcPr>
          <w:p>
            <w:pPr>
              <w:pStyle w:val="TableContents"/>
              <w:bidi w:val="0"/>
              <w:spacing w:before="0" w:after="1"/>
              <w:jc w:val="left"/>
              <w:rPr/>
            </w:pPr>
            <w:r>
              <w:rPr>
                <w:rFonts w:ascii="Times New Roman" w:hAnsi="Times New Roman"/>
                <w:color w:val="000000"/>
                <w:sz w:val="18"/>
              </w:rPr>
              <w:t>Goodwill</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12" w:type="dxa"/>
            <w:tcBorders/>
            <w:vAlign w:val="center"/>
          </w:tcPr>
          <w:p>
            <w:pPr>
              <w:pStyle w:val="TableContents"/>
              <w:bidi w:val="0"/>
              <w:spacing w:before="0" w:after="1"/>
              <w:ind w:left="0" w:right="60" w:hanging="0"/>
              <w:jc w:val="right"/>
              <w:rPr/>
            </w:pPr>
            <w:r>
              <w:rPr>
                <w:rFonts w:ascii="Times New Roman" w:hAnsi="Times New Roman"/>
                <w:color w:val="000000"/>
                <w:sz w:val="18"/>
              </w:rPr>
              <w:t>5,359</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62" w:type="dxa"/>
            <w:tcBorders/>
            <w:vAlign w:val="center"/>
          </w:tcPr>
          <w:p>
            <w:pPr>
              <w:pStyle w:val="TableContents"/>
              <w:bidi w:val="0"/>
              <w:spacing w:before="0" w:after="1"/>
              <w:ind w:left="0" w:right="60" w:hanging="0"/>
              <w:jc w:val="right"/>
              <w:rPr/>
            </w:pPr>
            <w:r>
              <w:rPr>
                <w:rFonts w:ascii="Times New Roman" w:hAnsi="Times New Roman"/>
                <w:color w:val="000000"/>
                <w:sz w:val="18"/>
              </w:rPr>
              <w:t>5,359</w:t>
            </w:r>
            <w:r>
              <w:rPr/>
              <w:t xml:space="preserve"> </w:t>
            </w:r>
          </w:p>
        </w:tc>
      </w:tr>
      <w:tr>
        <w:trPr/>
        <w:tc>
          <w:tcPr>
            <w:tcW w:w="7183" w:type="dxa"/>
            <w:tcBorders/>
            <w:vAlign w:val="center"/>
          </w:tcPr>
          <w:p>
            <w:pPr>
              <w:pStyle w:val="TableContents"/>
              <w:bidi w:val="0"/>
              <w:spacing w:before="0" w:after="1"/>
              <w:jc w:val="left"/>
              <w:rPr/>
            </w:pPr>
            <w:r>
              <w:rPr>
                <w:rFonts w:ascii="Times New Roman" w:hAnsi="Times New Roman"/>
                <w:color w:val="000000"/>
                <w:sz w:val="18"/>
              </w:rPr>
              <w:t>Intangible assets</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12" w:type="dxa"/>
            <w:tcBorders/>
            <w:vAlign w:val="center"/>
          </w:tcPr>
          <w:p>
            <w:pPr>
              <w:pStyle w:val="TableContents"/>
              <w:bidi w:val="0"/>
              <w:spacing w:before="0" w:after="1"/>
              <w:ind w:left="0" w:right="60" w:hanging="0"/>
              <w:jc w:val="right"/>
              <w:rPr/>
            </w:pPr>
            <w:r>
              <w:rPr>
                <w:rFonts w:ascii="Times New Roman" w:hAnsi="Times New Roman"/>
                <w:color w:val="000000"/>
                <w:sz w:val="18"/>
              </w:rPr>
              <w:t>393</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62" w:type="dxa"/>
            <w:tcBorders/>
            <w:vAlign w:val="center"/>
          </w:tcPr>
          <w:p>
            <w:pPr>
              <w:pStyle w:val="TableContents"/>
              <w:bidi w:val="0"/>
              <w:spacing w:before="0" w:after="1"/>
              <w:ind w:left="0" w:right="60" w:hanging="0"/>
              <w:jc w:val="right"/>
              <w:rPr/>
            </w:pPr>
            <w:r>
              <w:rPr>
                <w:rFonts w:ascii="Times New Roman" w:hAnsi="Times New Roman"/>
                <w:color w:val="000000"/>
                <w:sz w:val="18"/>
              </w:rPr>
              <w:t>535</w:t>
            </w:r>
            <w:r>
              <w:rPr/>
              <w:t xml:space="preserve"> </w:t>
            </w:r>
          </w:p>
        </w:tc>
      </w:tr>
      <w:tr>
        <w:trPr/>
        <w:tc>
          <w:tcPr>
            <w:tcW w:w="7183" w:type="dxa"/>
            <w:tcBorders/>
            <w:vAlign w:val="center"/>
          </w:tcPr>
          <w:p>
            <w:pPr>
              <w:pStyle w:val="TableContents"/>
              <w:bidi w:val="0"/>
              <w:spacing w:before="0" w:after="1"/>
              <w:jc w:val="left"/>
              <w:rPr/>
            </w:pPr>
            <w:r>
              <w:rPr>
                <w:rFonts w:ascii="Times New Roman" w:hAnsi="Times New Roman"/>
                <w:color w:val="000000"/>
                <w:sz w:val="18"/>
              </w:rPr>
              <w:t>Other assets</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91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51,035</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96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43,536</w:t>
            </w:r>
            <w:r>
              <w:rPr/>
              <w:t xml:space="preserve"> </w:t>
            </w:r>
          </w:p>
        </w:tc>
      </w:tr>
      <w:tr>
        <w:trPr/>
        <w:tc>
          <w:tcPr>
            <w:tcW w:w="7183" w:type="dxa"/>
            <w:tcBorders/>
            <w:vAlign w:val="center"/>
          </w:tcPr>
          <w:p>
            <w:pPr>
              <w:pStyle w:val="TableContents"/>
              <w:bidi w:val="0"/>
              <w:spacing w:before="0" w:after="1"/>
              <w:ind w:left="240" w:right="0" w:hanging="0"/>
              <w:jc w:val="left"/>
              <w:rPr/>
            </w:pPr>
            <w:r>
              <w:rPr>
                <w:rFonts w:ascii="Times New Roman" w:hAnsi="Times New Roman"/>
                <w:color w:val="000000"/>
                <w:sz w:val="18"/>
              </w:rPr>
              <w:t>TOTAL ASSETS</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12"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2,800,371</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62"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2,659,377</w:t>
            </w:r>
            <w:r>
              <w:rPr/>
              <w:t xml:space="preserve"> </w:t>
            </w:r>
          </w:p>
        </w:tc>
      </w:tr>
      <w:tr>
        <w:trPr/>
        <w:tc>
          <w:tcPr>
            <w:tcW w:w="7183" w:type="dxa"/>
            <w:tcBorders/>
            <w:vAlign w:val="center"/>
          </w:tcPr>
          <w:p>
            <w:pPr>
              <w:pStyle w:val="TableContents"/>
              <w:bidi w:val="0"/>
              <w:spacing w:before="0" w:after="1"/>
              <w:ind w:left="240" w:right="0" w:hanging="0"/>
              <w:jc w:val="left"/>
              <w:rPr/>
            </w:pPr>
            <w:r>
              <w:rPr>
                <w:rFonts w:ascii="Times New Roman" w:hAnsi="Times New Roman"/>
                <w:b/>
                <w:color w:val="000000"/>
                <w:sz w:val="18"/>
              </w:rPr>
              <w:t>LIABILITIES AND STOCKHOLDERS’ EQUITY</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t xml:space="preserve">  </w:t>
            </w:r>
          </w:p>
        </w:tc>
        <w:tc>
          <w:tcPr>
            <w:tcW w:w="912" w:type="dxa"/>
            <w:tcBorders/>
            <w:vAlign w:val="center"/>
          </w:tcPr>
          <w:p>
            <w:pPr>
              <w:pStyle w:val="TableContents"/>
              <w:bidi w:val="0"/>
              <w:spacing w:before="0" w:after="1"/>
              <w:jc w:val="right"/>
              <w:rPr/>
            </w:pP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t xml:space="preserve">  </w:t>
            </w:r>
          </w:p>
        </w:tc>
        <w:tc>
          <w:tcPr>
            <w:tcW w:w="962" w:type="dxa"/>
            <w:tcBorders/>
            <w:vAlign w:val="center"/>
          </w:tcPr>
          <w:p>
            <w:pPr>
              <w:pStyle w:val="TableContents"/>
              <w:bidi w:val="0"/>
              <w:spacing w:before="0" w:after="1"/>
              <w:jc w:val="right"/>
              <w:rPr/>
            </w:pPr>
            <w:r>
              <w:rPr/>
              <w:t xml:space="preserve">  </w:t>
            </w:r>
          </w:p>
        </w:tc>
      </w:tr>
      <w:tr>
        <w:trPr/>
        <w:tc>
          <w:tcPr>
            <w:tcW w:w="7183" w:type="dxa"/>
            <w:tcBorders/>
            <w:vAlign w:val="center"/>
          </w:tcPr>
          <w:p>
            <w:pPr>
              <w:pStyle w:val="TableContents"/>
              <w:bidi w:val="0"/>
              <w:spacing w:before="0" w:after="1"/>
              <w:jc w:val="left"/>
              <w:rPr/>
            </w:pPr>
            <w:r>
              <w:rPr>
                <w:rFonts w:ascii="Times New Roman" w:hAnsi="Times New Roman"/>
                <w:color w:val="000000"/>
                <w:sz w:val="18"/>
              </w:rPr>
              <w:t>Deposits:</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t xml:space="preserve">  </w:t>
            </w:r>
          </w:p>
        </w:tc>
        <w:tc>
          <w:tcPr>
            <w:tcW w:w="912" w:type="dxa"/>
            <w:tcBorders/>
            <w:vAlign w:val="center"/>
          </w:tcPr>
          <w:p>
            <w:pPr>
              <w:pStyle w:val="TableContents"/>
              <w:bidi w:val="0"/>
              <w:spacing w:before="0" w:after="1"/>
              <w:jc w:val="right"/>
              <w:rPr/>
            </w:pP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t xml:space="preserve">  </w:t>
            </w:r>
          </w:p>
        </w:tc>
        <w:tc>
          <w:tcPr>
            <w:tcW w:w="962" w:type="dxa"/>
            <w:tcBorders/>
            <w:vAlign w:val="center"/>
          </w:tcPr>
          <w:p>
            <w:pPr>
              <w:pStyle w:val="TableContents"/>
              <w:bidi w:val="0"/>
              <w:spacing w:before="0" w:after="1"/>
              <w:jc w:val="right"/>
              <w:rPr/>
            </w:pPr>
            <w:r>
              <w:rPr/>
              <w:t xml:space="preserve">  </w:t>
            </w:r>
          </w:p>
        </w:tc>
      </w:tr>
      <w:tr>
        <w:trPr/>
        <w:tc>
          <w:tcPr>
            <w:tcW w:w="7183" w:type="dxa"/>
            <w:tcBorders/>
            <w:vAlign w:val="center"/>
          </w:tcPr>
          <w:p>
            <w:pPr>
              <w:pStyle w:val="TableContents"/>
              <w:bidi w:val="0"/>
              <w:spacing w:before="0" w:after="1"/>
              <w:ind w:left="120" w:right="0" w:hanging="0"/>
              <w:jc w:val="left"/>
              <w:rPr/>
            </w:pPr>
            <w:r>
              <w:rPr>
                <w:rFonts w:ascii="Times New Roman" w:hAnsi="Times New Roman"/>
                <w:color w:val="000000"/>
                <w:sz w:val="18"/>
              </w:rPr>
              <w:t>Noninterest bearing</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12" w:type="dxa"/>
            <w:tcBorders/>
            <w:vAlign w:val="center"/>
          </w:tcPr>
          <w:p>
            <w:pPr>
              <w:pStyle w:val="TableContents"/>
              <w:bidi w:val="0"/>
              <w:spacing w:before="0" w:after="1"/>
              <w:ind w:left="0" w:right="60" w:hanging="0"/>
              <w:jc w:val="right"/>
              <w:rPr/>
            </w:pPr>
            <w:r>
              <w:rPr>
                <w:rFonts w:ascii="Times New Roman" w:hAnsi="Times New Roman"/>
                <w:color w:val="000000"/>
                <w:sz w:val="18"/>
              </w:rPr>
              <w:t>793,908</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62" w:type="dxa"/>
            <w:tcBorders/>
            <w:vAlign w:val="center"/>
          </w:tcPr>
          <w:p>
            <w:pPr>
              <w:pStyle w:val="TableContents"/>
              <w:bidi w:val="0"/>
              <w:spacing w:before="0" w:after="1"/>
              <w:ind w:left="0" w:right="60" w:hanging="0"/>
              <w:jc w:val="right"/>
              <w:rPr/>
            </w:pPr>
            <w:r>
              <w:rPr>
                <w:rFonts w:ascii="Times New Roman" w:hAnsi="Times New Roman"/>
                <w:color w:val="000000"/>
                <w:sz w:val="18"/>
              </w:rPr>
              <w:t>725,656</w:t>
            </w:r>
            <w:r>
              <w:rPr/>
              <w:t xml:space="preserve"> </w:t>
            </w:r>
          </w:p>
        </w:tc>
      </w:tr>
      <w:tr>
        <w:trPr/>
        <w:tc>
          <w:tcPr>
            <w:tcW w:w="7183" w:type="dxa"/>
            <w:tcBorders/>
            <w:vAlign w:val="center"/>
          </w:tcPr>
          <w:p>
            <w:pPr>
              <w:pStyle w:val="TableContents"/>
              <w:bidi w:val="0"/>
              <w:spacing w:before="0" w:after="1"/>
              <w:ind w:left="120" w:right="0" w:hanging="0"/>
              <w:jc w:val="left"/>
              <w:rPr/>
            </w:pPr>
            <w:r>
              <w:rPr>
                <w:rFonts w:ascii="Times New Roman" w:hAnsi="Times New Roman"/>
                <w:color w:val="000000"/>
                <w:sz w:val="18"/>
              </w:rPr>
              <w:t>Interest bearing</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91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1,637,283</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96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1,584,717</w:t>
            </w:r>
            <w:r>
              <w:rPr/>
              <w:t xml:space="preserve"> </w:t>
            </w:r>
          </w:p>
        </w:tc>
      </w:tr>
      <w:tr>
        <w:trPr/>
        <w:tc>
          <w:tcPr>
            <w:tcW w:w="7183" w:type="dxa"/>
            <w:tcBorders/>
            <w:vAlign w:val="center"/>
          </w:tcPr>
          <w:p>
            <w:pPr>
              <w:pStyle w:val="TableContents"/>
              <w:bidi w:val="0"/>
              <w:spacing w:before="0" w:after="1"/>
              <w:ind w:left="240" w:right="0" w:hanging="0"/>
              <w:jc w:val="left"/>
              <w:rPr/>
            </w:pPr>
            <w:r>
              <w:rPr>
                <w:rFonts w:ascii="Times New Roman" w:hAnsi="Times New Roman"/>
                <w:color w:val="000000"/>
                <w:sz w:val="18"/>
              </w:rPr>
              <w:t>Total deposits</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12" w:type="dxa"/>
            <w:tcBorders/>
            <w:vAlign w:val="center"/>
          </w:tcPr>
          <w:p>
            <w:pPr>
              <w:pStyle w:val="TableContents"/>
              <w:bidi w:val="0"/>
              <w:spacing w:before="0" w:after="1"/>
              <w:ind w:left="0" w:right="60" w:hanging="0"/>
              <w:jc w:val="right"/>
              <w:rPr/>
            </w:pPr>
            <w:r>
              <w:rPr>
                <w:rFonts w:ascii="Times New Roman" w:hAnsi="Times New Roman"/>
                <w:color w:val="000000"/>
                <w:sz w:val="18"/>
              </w:rPr>
              <w:t>2,431,191</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62" w:type="dxa"/>
            <w:tcBorders/>
            <w:vAlign w:val="center"/>
          </w:tcPr>
          <w:p>
            <w:pPr>
              <w:pStyle w:val="TableContents"/>
              <w:bidi w:val="0"/>
              <w:spacing w:before="0" w:after="1"/>
              <w:ind w:left="0" w:right="60" w:hanging="0"/>
              <w:jc w:val="right"/>
              <w:rPr/>
            </w:pPr>
            <w:r>
              <w:rPr>
                <w:rFonts w:ascii="Times New Roman" w:hAnsi="Times New Roman"/>
                <w:color w:val="000000"/>
                <w:sz w:val="18"/>
              </w:rPr>
              <w:t>2,310,373</w:t>
            </w:r>
            <w:r>
              <w:rPr/>
              <w:t xml:space="preserve"> </w:t>
            </w:r>
          </w:p>
        </w:tc>
      </w:tr>
      <w:tr>
        <w:trPr/>
        <w:tc>
          <w:tcPr>
            <w:tcW w:w="7183" w:type="dxa"/>
            <w:tcBorders/>
            <w:vAlign w:val="center"/>
          </w:tcPr>
          <w:p>
            <w:pPr>
              <w:pStyle w:val="TableContents"/>
              <w:bidi w:val="0"/>
              <w:spacing w:before="0" w:after="1"/>
              <w:jc w:val="left"/>
              <w:rPr/>
            </w:pPr>
            <w:r>
              <w:rPr>
                <w:rFonts w:ascii="Times New Roman" w:hAnsi="Times New Roman"/>
                <w:color w:val="000000"/>
                <w:sz w:val="18"/>
              </w:rPr>
              <w:t>FHLB advances, long term</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12" w:type="dxa"/>
            <w:tcBorders/>
            <w:vAlign w:val="center"/>
          </w:tcPr>
          <w:p>
            <w:pPr>
              <w:pStyle w:val="TableContents"/>
              <w:bidi w:val="0"/>
              <w:spacing w:before="0" w:after="1"/>
              <w:ind w:left="0" w:right="60" w:hanging="0"/>
              <w:jc w:val="right"/>
              <w:rPr/>
            </w:pPr>
            <w:r>
              <w:rPr>
                <w:rFonts w:ascii="Times New Roman" w:hAnsi="Times New Roman"/>
                <w:color w:val="000000"/>
                <w:sz w:val="18"/>
              </w:rPr>
              <w:t>10,000</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62" w:type="dxa"/>
            <w:tcBorders/>
            <w:vAlign w:val="center"/>
          </w:tcPr>
          <w:p>
            <w:pPr>
              <w:pStyle w:val="TableContents"/>
              <w:bidi w:val="0"/>
              <w:spacing w:before="0" w:after="1"/>
              <w:ind w:left="0" w:right="60" w:hanging="0"/>
              <w:jc w:val="right"/>
              <w:rPr/>
            </w:pPr>
            <w:r>
              <w:rPr>
                <w:rFonts w:ascii="Times New Roman" w:hAnsi="Times New Roman"/>
                <w:color w:val="000000"/>
                <w:sz w:val="18"/>
              </w:rPr>
              <w:t>10,000</w:t>
            </w:r>
            <w:r>
              <w:rPr/>
              <w:t xml:space="preserve"> </w:t>
            </w:r>
          </w:p>
        </w:tc>
      </w:tr>
      <w:tr>
        <w:trPr/>
        <w:tc>
          <w:tcPr>
            <w:tcW w:w="7183" w:type="dxa"/>
            <w:tcBorders/>
            <w:vAlign w:val="center"/>
          </w:tcPr>
          <w:p>
            <w:pPr>
              <w:pStyle w:val="TableContents"/>
              <w:bidi w:val="0"/>
              <w:spacing w:before="0" w:after="1"/>
              <w:jc w:val="left"/>
              <w:rPr/>
            </w:pPr>
            <w:r>
              <w:rPr>
                <w:rFonts w:ascii="Times New Roman" w:hAnsi="Times New Roman"/>
                <w:color w:val="000000"/>
                <w:sz w:val="18"/>
              </w:rPr>
              <w:t>Subordinated notes, net of issuance costs</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12" w:type="dxa"/>
            <w:tcBorders/>
            <w:vAlign w:val="center"/>
          </w:tcPr>
          <w:p>
            <w:pPr>
              <w:pStyle w:val="TableContents"/>
              <w:bidi w:val="0"/>
              <w:spacing w:before="0" w:after="1"/>
              <w:ind w:left="0" w:right="60" w:hanging="0"/>
              <w:jc w:val="right"/>
              <w:rPr/>
            </w:pPr>
            <w:r>
              <w:rPr>
                <w:rFonts w:ascii="Times New Roman" w:hAnsi="Times New Roman"/>
                <w:color w:val="000000"/>
                <w:sz w:val="18"/>
              </w:rPr>
              <w:t>24,603</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62" w:type="dxa"/>
            <w:tcBorders/>
            <w:vAlign w:val="center"/>
          </w:tcPr>
          <w:p>
            <w:pPr>
              <w:pStyle w:val="TableContents"/>
              <w:bidi w:val="0"/>
              <w:spacing w:before="0" w:after="1"/>
              <w:ind w:left="0" w:right="60" w:hanging="0"/>
              <w:jc w:val="right"/>
              <w:rPr/>
            </w:pPr>
            <w:r>
              <w:rPr>
                <w:rFonts w:ascii="Times New Roman" w:hAnsi="Times New Roman"/>
                <w:color w:val="000000"/>
                <w:sz w:val="18"/>
              </w:rPr>
              <w:t>24,555</w:t>
            </w:r>
            <w:r>
              <w:rPr/>
              <w:t xml:space="preserve"> </w:t>
            </w:r>
          </w:p>
        </w:tc>
      </w:tr>
      <w:tr>
        <w:trPr/>
        <w:tc>
          <w:tcPr>
            <w:tcW w:w="7183" w:type="dxa"/>
            <w:tcBorders/>
            <w:vAlign w:val="center"/>
          </w:tcPr>
          <w:p>
            <w:pPr>
              <w:pStyle w:val="TableContents"/>
              <w:bidi w:val="0"/>
              <w:spacing w:before="0" w:after="1"/>
              <w:jc w:val="left"/>
              <w:rPr/>
            </w:pPr>
            <w:r>
              <w:rPr>
                <w:rFonts w:ascii="Times New Roman" w:hAnsi="Times New Roman"/>
                <w:color w:val="000000"/>
                <w:sz w:val="18"/>
              </w:rPr>
              <w:t>Accrued expenses and other liabilities</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91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27,949</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96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30,085</w:t>
            </w:r>
            <w:r>
              <w:rPr/>
              <w:t xml:space="preserve"> </w:t>
            </w:r>
          </w:p>
        </w:tc>
      </w:tr>
      <w:tr>
        <w:trPr/>
        <w:tc>
          <w:tcPr>
            <w:tcW w:w="7183" w:type="dxa"/>
            <w:tcBorders/>
            <w:vAlign w:val="center"/>
          </w:tcPr>
          <w:p>
            <w:pPr>
              <w:pStyle w:val="TableContents"/>
              <w:bidi w:val="0"/>
              <w:spacing w:before="0" w:after="1"/>
              <w:ind w:left="240" w:right="0" w:hanging="0"/>
              <w:jc w:val="left"/>
              <w:rPr/>
            </w:pPr>
            <w:r>
              <w:rPr>
                <w:rFonts w:ascii="Times New Roman" w:hAnsi="Times New Roman"/>
                <w:color w:val="000000"/>
                <w:sz w:val="18"/>
              </w:rPr>
              <w:t>TOTAL LIABILITIES</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91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2,493,743</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96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2,375,013</w:t>
            </w:r>
            <w:r>
              <w:rPr/>
              <w:t xml:space="preserve"> </w:t>
            </w:r>
          </w:p>
        </w:tc>
      </w:tr>
      <w:tr>
        <w:trPr/>
        <w:tc>
          <w:tcPr>
            <w:tcW w:w="7183" w:type="dxa"/>
            <w:tcBorders/>
            <w:vAlign w:val="center"/>
          </w:tcPr>
          <w:p>
            <w:pPr>
              <w:pStyle w:val="TableContents"/>
              <w:bidi w:val="0"/>
              <w:spacing w:before="0" w:after="1"/>
              <w:ind w:left="240" w:right="0" w:hanging="0"/>
              <w:jc w:val="left"/>
              <w:rPr/>
            </w:pPr>
            <w:r>
              <w:rPr>
                <w:rFonts w:ascii="Times New Roman" w:hAnsi="Times New Roman"/>
                <w:b/>
                <w:color w:val="000000"/>
                <w:sz w:val="18"/>
              </w:rPr>
              <w:t>STOCKHOLDERS’ EQUITY</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t xml:space="preserve">  </w:t>
            </w:r>
          </w:p>
        </w:tc>
        <w:tc>
          <w:tcPr>
            <w:tcW w:w="912" w:type="dxa"/>
            <w:tcBorders/>
            <w:vAlign w:val="center"/>
          </w:tcPr>
          <w:p>
            <w:pPr>
              <w:pStyle w:val="TableContents"/>
              <w:bidi w:val="0"/>
              <w:spacing w:before="0" w:after="1"/>
              <w:jc w:val="right"/>
              <w:rPr/>
            </w:pP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t xml:space="preserve">  </w:t>
            </w:r>
          </w:p>
        </w:tc>
        <w:tc>
          <w:tcPr>
            <w:tcW w:w="962" w:type="dxa"/>
            <w:tcBorders/>
            <w:vAlign w:val="center"/>
          </w:tcPr>
          <w:p>
            <w:pPr>
              <w:pStyle w:val="TableContents"/>
              <w:bidi w:val="0"/>
              <w:spacing w:before="0" w:after="1"/>
              <w:jc w:val="right"/>
              <w:rPr/>
            </w:pPr>
            <w:r>
              <w:rPr/>
              <w:t xml:space="preserve">  </w:t>
            </w:r>
          </w:p>
        </w:tc>
      </w:tr>
      <w:tr>
        <w:trPr/>
        <w:tc>
          <w:tcPr>
            <w:tcW w:w="7183" w:type="dxa"/>
            <w:tcBorders/>
            <w:vAlign w:val="center"/>
          </w:tcPr>
          <w:p>
            <w:pPr>
              <w:pStyle w:val="TableContents"/>
              <w:bidi w:val="0"/>
              <w:spacing w:before="0" w:after="1"/>
              <w:jc w:val="left"/>
              <w:rPr/>
            </w:pPr>
            <w:r>
              <w:rPr>
                <w:rFonts w:ascii="Times New Roman" w:hAnsi="Times New Roman"/>
                <w:color w:val="000000"/>
                <w:sz w:val="18"/>
              </w:rPr>
              <w:t>Common stock, $0.25 par value; 30,000,000 shares authorized; 13,415,921 and 13,376,464 issued; 13,407,904 and 13,368,447 outstanding, at June 30, 2026 and December 31, 2025, respectively</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12" w:type="dxa"/>
            <w:tcBorders/>
            <w:vAlign w:val="center"/>
          </w:tcPr>
          <w:p>
            <w:pPr>
              <w:pStyle w:val="TableContents"/>
              <w:bidi w:val="0"/>
              <w:spacing w:before="0" w:after="1"/>
              <w:ind w:left="0" w:right="60" w:hanging="0"/>
              <w:jc w:val="right"/>
              <w:rPr/>
            </w:pPr>
            <w:r>
              <w:rPr>
                <w:rFonts w:ascii="Times New Roman" w:hAnsi="Times New Roman"/>
                <w:color w:val="000000"/>
                <w:sz w:val="18"/>
              </w:rPr>
              <w:t>3,354</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62" w:type="dxa"/>
            <w:tcBorders/>
            <w:vAlign w:val="center"/>
          </w:tcPr>
          <w:p>
            <w:pPr>
              <w:pStyle w:val="TableContents"/>
              <w:bidi w:val="0"/>
              <w:spacing w:before="0" w:after="1"/>
              <w:ind w:left="0" w:right="60" w:hanging="0"/>
              <w:jc w:val="right"/>
              <w:rPr/>
            </w:pPr>
            <w:r>
              <w:rPr>
                <w:rFonts w:ascii="Times New Roman" w:hAnsi="Times New Roman"/>
                <w:color w:val="000000"/>
                <w:sz w:val="18"/>
              </w:rPr>
              <w:t>3,344</w:t>
            </w:r>
            <w:r>
              <w:rPr/>
              <w:t xml:space="preserve"> </w:t>
            </w:r>
          </w:p>
        </w:tc>
      </w:tr>
      <w:tr>
        <w:trPr/>
        <w:tc>
          <w:tcPr>
            <w:tcW w:w="7183" w:type="dxa"/>
            <w:tcBorders/>
            <w:vAlign w:val="center"/>
          </w:tcPr>
          <w:p>
            <w:pPr>
              <w:pStyle w:val="TableContents"/>
              <w:bidi w:val="0"/>
              <w:spacing w:before="0" w:after="1"/>
              <w:jc w:val="left"/>
              <w:rPr/>
            </w:pPr>
            <w:r>
              <w:rPr>
                <w:rFonts w:ascii="Times New Roman" w:hAnsi="Times New Roman"/>
                <w:color w:val="000000"/>
                <w:sz w:val="18"/>
              </w:rPr>
              <w:t>Surplus</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12" w:type="dxa"/>
            <w:tcBorders/>
            <w:vAlign w:val="center"/>
          </w:tcPr>
          <w:p>
            <w:pPr>
              <w:pStyle w:val="TableContents"/>
              <w:bidi w:val="0"/>
              <w:spacing w:before="0" w:after="1"/>
              <w:ind w:left="0" w:right="60" w:hanging="0"/>
              <w:jc w:val="right"/>
              <w:rPr/>
            </w:pPr>
            <w:r>
              <w:rPr>
                <w:rFonts w:ascii="Times New Roman" w:hAnsi="Times New Roman"/>
                <w:color w:val="000000"/>
                <w:sz w:val="18"/>
              </w:rPr>
              <w:t>168,162</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62" w:type="dxa"/>
            <w:tcBorders/>
            <w:vAlign w:val="center"/>
          </w:tcPr>
          <w:p>
            <w:pPr>
              <w:pStyle w:val="TableContents"/>
              <w:bidi w:val="0"/>
              <w:spacing w:before="0" w:after="1"/>
              <w:ind w:left="0" w:right="60" w:hanging="0"/>
              <w:jc w:val="right"/>
              <w:rPr/>
            </w:pPr>
            <w:r>
              <w:rPr>
                <w:rFonts w:ascii="Times New Roman" w:hAnsi="Times New Roman"/>
                <w:color w:val="000000"/>
                <w:sz w:val="18"/>
              </w:rPr>
              <w:t>164,592</w:t>
            </w:r>
            <w:r>
              <w:rPr/>
              <w:t xml:space="preserve"> </w:t>
            </w:r>
          </w:p>
        </w:tc>
      </w:tr>
      <w:tr>
        <w:trPr/>
        <w:tc>
          <w:tcPr>
            <w:tcW w:w="7183" w:type="dxa"/>
            <w:tcBorders/>
            <w:vAlign w:val="center"/>
          </w:tcPr>
          <w:p>
            <w:pPr>
              <w:pStyle w:val="TableContents"/>
              <w:bidi w:val="0"/>
              <w:spacing w:before="0" w:after="1"/>
              <w:jc w:val="left"/>
              <w:rPr/>
            </w:pPr>
            <w:r>
              <w:rPr>
                <w:rFonts w:ascii="Times New Roman" w:hAnsi="Times New Roman"/>
                <w:color w:val="000000"/>
                <w:sz w:val="18"/>
              </w:rPr>
              <w:t>Retained Earnings</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12" w:type="dxa"/>
            <w:tcBorders/>
            <w:vAlign w:val="center"/>
          </w:tcPr>
          <w:p>
            <w:pPr>
              <w:pStyle w:val="TableContents"/>
              <w:bidi w:val="0"/>
              <w:spacing w:before="0" w:after="1"/>
              <w:ind w:left="0" w:right="60" w:hanging="0"/>
              <w:jc w:val="right"/>
              <w:rPr/>
            </w:pPr>
            <w:r>
              <w:rPr>
                <w:rFonts w:ascii="Times New Roman" w:hAnsi="Times New Roman"/>
                <w:color w:val="000000"/>
                <w:sz w:val="18"/>
              </w:rPr>
              <w:t>184,557</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62" w:type="dxa"/>
            <w:tcBorders/>
            <w:vAlign w:val="center"/>
          </w:tcPr>
          <w:p>
            <w:pPr>
              <w:pStyle w:val="TableContents"/>
              <w:bidi w:val="0"/>
              <w:spacing w:before="0" w:after="1"/>
              <w:ind w:left="0" w:right="60" w:hanging="0"/>
              <w:jc w:val="right"/>
              <w:rPr/>
            </w:pPr>
            <w:r>
              <w:rPr>
                <w:rFonts w:ascii="Times New Roman" w:hAnsi="Times New Roman"/>
                <w:color w:val="000000"/>
                <w:sz w:val="18"/>
              </w:rPr>
              <w:t>164,434</w:t>
            </w:r>
            <w:r>
              <w:rPr/>
              <w:t xml:space="preserve"> </w:t>
            </w:r>
          </w:p>
        </w:tc>
      </w:tr>
      <w:tr>
        <w:trPr/>
        <w:tc>
          <w:tcPr>
            <w:tcW w:w="7183" w:type="dxa"/>
            <w:tcBorders/>
            <w:vAlign w:val="center"/>
          </w:tcPr>
          <w:p>
            <w:pPr>
              <w:pStyle w:val="TableContents"/>
              <w:bidi w:val="0"/>
              <w:spacing w:before="0" w:after="1"/>
              <w:jc w:val="left"/>
              <w:rPr/>
            </w:pPr>
            <w:r>
              <w:rPr>
                <w:rFonts w:ascii="Times New Roman" w:hAnsi="Times New Roman"/>
                <w:color w:val="000000"/>
                <w:sz w:val="18"/>
              </w:rPr>
              <w:t>Accumulated other comprehensive income (loss), net of taxes</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12" w:type="dxa"/>
            <w:tcBorders/>
            <w:vAlign w:val="center"/>
          </w:tcPr>
          <w:p>
            <w:pPr>
              <w:pStyle w:val="TableContents"/>
              <w:bidi w:val="0"/>
              <w:spacing w:before="0" w:after="1"/>
              <w:jc w:val="right"/>
              <w:rPr/>
            </w:pPr>
            <w:r>
              <w:rPr>
                <w:rFonts w:ascii="Times New Roman" w:hAnsi="Times New Roman"/>
                <w:color w:val="000000"/>
                <w:sz w:val="18"/>
              </w:rPr>
              <w:t>(49,246)</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vAlign w:val="center"/>
          </w:tcPr>
          <w:p>
            <w:pPr>
              <w:pStyle w:val="TableContents"/>
              <w:bidi w:val="0"/>
              <w:spacing w:before="0" w:after="1"/>
              <w:jc w:val="left"/>
              <w:rPr/>
            </w:pPr>
            <w:r>
              <w:rPr>
                <w:color w:val="000000"/>
              </w:rPr>
              <w:t> </w:t>
            </w:r>
            <w:r>
              <w:rPr/>
              <w:t xml:space="preserve"> </w:t>
            </w:r>
          </w:p>
        </w:tc>
        <w:tc>
          <w:tcPr>
            <w:tcW w:w="962" w:type="dxa"/>
            <w:tcBorders/>
            <w:vAlign w:val="center"/>
          </w:tcPr>
          <w:p>
            <w:pPr>
              <w:pStyle w:val="TableContents"/>
              <w:bidi w:val="0"/>
              <w:spacing w:before="0" w:after="1"/>
              <w:jc w:val="right"/>
              <w:rPr/>
            </w:pPr>
            <w:r>
              <w:rPr>
                <w:rFonts w:ascii="Times New Roman" w:hAnsi="Times New Roman"/>
                <w:color w:val="000000"/>
                <w:sz w:val="18"/>
              </w:rPr>
              <w:t>(47,807)</w:t>
            </w:r>
            <w:r>
              <w:rPr/>
              <w:t xml:space="preserve"> </w:t>
            </w:r>
          </w:p>
        </w:tc>
      </w:tr>
      <w:tr>
        <w:trPr/>
        <w:tc>
          <w:tcPr>
            <w:tcW w:w="7183" w:type="dxa"/>
            <w:tcBorders/>
            <w:vAlign w:val="center"/>
          </w:tcPr>
          <w:p>
            <w:pPr>
              <w:pStyle w:val="TableContents"/>
              <w:bidi w:val="0"/>
              <w:spacing w:before="0" w:after="1"/>
              <w:jc w:val="left"/>
              <w:rPr/>
            </w:pPr>
            <w:r>
              <w:rPr>
                <w:rFonts w:ascii="Times New Roman" w:hAnsi="Times New Roman"/>
                <w:color w:val="000000"/>
                <w:sz w:val="18"/>
              </w:rPr>
              <w:t>Treasury stock, at cost; 8,017 shares at June 30, 2026 and December 31, 2025, respectively</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912" w:type="dxa"/>
            <w:tcBorders>
              <w:bottom w:val="single" w:sz="8" w:space="0" w:color="000000"/>
            </w:tcBorders>
            <w:tcMar>
              <w:top w:w="0" w:type="dxa"/>
              <w:left w:w="0" w:type="dxa"/>
              <w:right w:w="0" w:type="dxa"/>
            </w:tcMar>
            <w:vAlign w:val="center"/>
          </w:tcPr>
          <w:p>
            <w:pPr>
              <w:pStyle w:val="TableContents"/>
              <w:bidi w:val="0"/>
              <w:spacing w:before="0" w:after="1"/>
              <w:jc w:val="right"/>
              <w:rPr/>
            </w:pPr>
            <w:r>
              <w:rPr>
                <w:rFonts w:ascii="Times New Roman" w:hAnsi="Times New Roman"/>
                <w:color w:val="000000"/>
                <w:sz w:val="18"/>
              </w:rPr>
              <w:t>(199)</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962" w:type="dxa"/>
            <w:tcBorders>
              <w:bottom w:val="single" w:sz="8" w:space="0" w:color="000000"/>
            </w:tcBorders>
            <w:tcMar>
              <w:top w:w="0" w:type="dxa"/>
              <w:left w:w="0" w:type="dxa"/>
              <w:right w:w="0" w:type="dxa"/>
            </w:tcMar>
            <w:vAlign w:val="center"/>
          </w:tcPr>
          <w:p>
            <w:pPr>
              <w:pStyle w:val="TableContents"/>
              <w:bidi w:val="0"/>
              <w:spacing w:before="0" w:after="1"/>
              <w:jc w:val="right"/>
              <w:rPr/>
            </w:pPr>
            <w:r>
              <w:rPr>
                <w:rFonts w:ascii="Times New Roman" w:hAnsi="Times New Roman"/>
                <w:color w:val="000000"/>
                <w:sz w:val="18"/>
              </w:rPr>
              <w:t>(199)</w:t>
            </w:r>
            <w:r>
              <w:rPr/>
              <w:t xml:space="preserve"> </w:t>
            </w:r>
          </w:p>
        </w:tc>
      </w:tr>
      <w:tr>
        <w:trPr/>
        <w:tc>
          <w:tcPr>
            <w:tcW w:w="7183" w:type="dxa"/>
            <w:tcBorders/>
            <w:vAlign w:val="center"/>
          </w:tcPr>
          <w:p>
            <w:pPr>
              <w:pStyle w:val="TableContents"/>
              <w:bidi w:val="0"/>
              <w:spacing w:before="0" w:after="1"/>
              <w:ind w:left="240" w:right="0" w:hanging="0"/>
              <w:jc w:val="left"/>
              <w:rPr/>
            </w:pPr>
            <w:r>
              <w:rPr>
                <w:rFonts w:ascii="Times New Roman" w:hAnsi="Times New Roman"/>
                <w:color w:val="000000"/>
                <w:sz w:val="18"/>
              </w:rPr>
              <w:t>TOTAL STOCKHOLDERS’ EQUITY</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91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306,628</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96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284,364</w:t>
            </w:r>
            <w:r>
              <w:rPr/>
              <w:t xml:space="preserve"> </w:t>
            </w:r>
          </w:p>
        </w:tc>
      </w:tr>
      <w:tr>
        <w:trPr/>
        <w:tc>
          <w:tcPr>
            <w:tcW w:w="7183" w:type="dxa"/>
            <w:tcBorders/>
            <w:vAlign w:val="center"/>
          </w:tcPr>
          <w:p>
            <w:pPr>
              <w:pStyle w:val="TableContents"/>
              <w:bidi w:val="0"/>
              <w:spacing w:before="0" w:after="1"/>
              <w:ind w:left="240" w:right="0" w:hanging="0"/>
              <w:jc w:val="left"/>
              <w:rPr/>
            </w:pPr>
            <w:r>
              <w:rPr>
                <w:rFonts w:ascii="Times New Roman" w:hAnsi="Times New Roman"/>
                <w:color w:val="000000"/>
                <w:sz w:val="18"/>
              </w:rPr>
              <w:t>TOTAL LIABILITIES AND STOCKHOLDERS’ EQUITY</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12"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2,800,371</w:t>
            </w:r>
            <w:r>
              <w:rPr/>
              <w:t xml:space="preserve"> </w:t>
            </w:r>
          </w:p>
        </w:tc>
        <w:tc>
          <w:tcPr>
            <w:tcW w:w="352" w:type="dxa"/>
            <w:tcBorders/>
            <w:vAlign w:val="center"/>
          </w:tcPr>
          <w:p>
            <w:pPr>
              <w:pStyle w:val="TableContents"/>
              <w:bidi w:val="0"/>
              <w:spacing w:before="0" w:after="1"/>
              <w:jc w:val="left"/>
              <w:rPr/>
            </w:pPr>
            <w:r>
              <w:rPr/>
              <w:t xml:space="preserve">  </w:t>
            </w:r>
          </w:p>
        </w:tc>
        <w:tc>
          <w:tcPr>
            <w:tcW w:w="222"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62"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2,659,377</w:t>
            </w:r>
            <w:r>
              <w:rPr/>
              <w:t xml:space="preserve"> </w:t>
            </w:r>
          </w:p>
        </w:tc>
      </w:tr>
    </w:tbl>
    <w:p>
      <w:pPr>
        <w:pStyle w:val="TextBody"/>
        <w:bidi w:val="0"/>
        <w:spacing w:before="0" w:after="160"/>
        <w:jc w:val="center"/>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rFonts w:ascii="Times New Roman" w:hAnsi="Times New Roman"/>
          <w:b/>
          <w:sz w:val="20"/>
        </w:rPr>
        <w:t>ORANGE COUNTY BANCORP, INC.</w:t>
      </w:r>
      <w:r>
        <w:rPr/>
        <w:t xml:space="preserve"> </w:t>
      </w:r>
    </w:p>
    <w:p>
      <w:pPr>
        <w:pStyle w:val="TextBody"/>
        <w:bidi w:val="0"/>
        <w:spacing w:before="0" w:after="0"/>
        <w:jc w:val="center"/>
        <w:rPr/>
      </w:pPr>
      <w:r>
        <w:rPr>
          <w:rFonts w:ascii="Times New Roman" w:hAnsi="Times New Roman"/>
          <w:b/>
          <w:sz w:val="20"/>
        </w:rPr>
        <w:t>CONDENSED CONSOLIDATED STATEMENTS OF INCOME</w:t>
      </w:r>
      <w:r>
        <w:rPr/>
        <w:t xml:space="preserve"> </w:t>
      </w:r>
    </w:p>
    <w:p>
      <w:pPr>
        <w:pStyle w:val="TextBody"/>
        <w:bidi w:val="0"/>
        <w:spacing w:before="0" w:after="0"/>
        <w:jc w:val="center"/>
        <w:rPr/>
      </w:pPr>
      <w:r>
        <w:rPr>
          <w:rFonts w:ascii="Times New Roman" w:hAnsi="Times New Roman"/>
          <w:b/>
          <w:sz w:val="20"/>
        </w:rPr>
        <w:t>(UNAUDITED)</w:t>
      </w:r>
      <w:r>
        <w:rPr/>
        <w:t xml:space="preserve"> </w:t>
      </w:r>
    </w:p>
    <w:p>
      <w:pPr>
        <w:pStyle w:val="TextBody"/>
        <w:bidi w:val="0"/>
        <w:spacing w:before="0" w:after="120"/>
        <w:jc w:val="center"/>
        <w:rPr/>
      </w:pPr>
      <w:r>
        <w:rPr>
          <w:rFonts w:ascii="Times New Roman" w:hAnsi="Times New Roman"/>
          <w:sz w:val="18"/>
        </w:rPr>
        <w:t>(Dollar Amounts in thousands except per share data)</w:t>
      </w:r>
      <w:r>
        <w:rPr/>
        <w:t xml:space="preserve"> </w:t>
      </w:r>
    </w:p>
    <w:tbl>
      <w:tblPr>
        <w:tblW w:w="10205" w:type="dxa"/>
        <w:jc w:val="left"/>
        <w:tblInd w:w="0" w:type="dxa"/>
        <w:tblLayout w:type="fixed"/>
        <w:tblCellMar>
          <w:top w:w="28" w:type="dxa"/>
          <w:left w:w="28" w:type="dxa"/>
          <w:bottom w:w="28" w:type="dxa"/>
          <w:right w:w="28" w:type="dxa"/>
        </w:tblCellMar>
      </w:tblPr>
      <w:tblGrid>
        <w:gridCol w:w="3982"/>
        <w:gridCol w:w="356"/>
        <w:gridCol w:w="226"/>
        <w:gridCol w:w="1006"/>
        <w:gridCol w:w="356"/>
        <w:gridCol w:w="226"/>
        <w:gridCol w:w="1006"/>
        <w:gridCol w:w="176"/>
        <w:gridCol w:w="226"/>
        <w:gridCol w:w="1006"/>
        <w:gridCol w:w="356"/>
        <w:gridCol w:w="226"/>
        <w:gridCol w:w="1057"/>
      </w:tblGrid>
      <w:tr>
        <w:trPr/>
        <w:tc>
          <w:tcPr>
            <w:tcW w:w="3982" w:type="dxa"/>
            <w:tcBorders/>
            <w:vAlign w:val="center"/>
          </w:tcPr>
          <w:p>
            <w:pPr>
              <w:pStyle w:val="TableContents"/>
              <w:bidi w:val="0"/>
              <w:spacing w:before="0" w:after="1"/>
              <w:jc w:val="left"/>
              <w:rPr/>
            </w:pP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left"/>
              <w:rPr/>
            </w:pP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left"/>
              <w:rPr/>
            </w:pP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left"/>
              <w:rPr/>
            </w:pP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57" w:type="dxa"/>
            <w:tcBorders/>
            <w:vAlign w:val="center"/>
          </w:tcPr>
          <w:p>
            <w:pPr>
              <w:pStyle w:val="TableContents"/>
              <w:bidi w:val="0"/>
              <w:spacing w:before="0" w:after="1"/>
              <w:jc w:val="left"/>
              <w:rPr/>
            </w:pPr>
            <w:r>
              <w:rPr/>
              <w:t xml:space="preserve">  </w:t>
            </w:r>
          </w:p>
        </w:tc>
      </w:tr>
      <w:tr>
        <w:trPr/>
        <w:tc>
          <w:tcPr>
            <w:tcW w:w="3982" w:type="dxa"/>
            <w:tcBorders/>
            <w:vAlign w:val="center"/>
          </w:tcPr>
          <w:p>
            <w:pPr>
              <w:pStyle w:val="TableContents"/>
              <w:bidi w:val="0"/>
              <w:spacing w:before="0" w:after="1"/>
              <w:jc w:val="left"/>
              <w:rPr/>
            </w:pPr>
            <w:r>
              <w:rPr/>
              <w:t xml:space="preserve">  </w:t>
            </w:r>
          </w:p>
        </w:tc>
        <w:tc>
          <w:tcPr>
            <w:tcW w:w="356" w:type="dxa"/>
            <w:tcBorders/>
            <w:vAlign w:val="center"/>
          </w:tcPr>
          <w:p>
            <w:pPr>
              <w:pStyle w:val="TableContents"/>
              <w:bidi w:val="0"/>
              <w:spacing w:before="0" w:after="1"/>
              <w:jc w:val="center"/>
              <w:rPr/>
            </w:pPr>
            <w:r>
              <w:rPr>
                <w:color w:val="000000"/>
              </w:rPr>
              <w:t>    </w:t>
            </w:r>
            <w:r>
              <w:rPr/>
              <w:t xml:space="preserve"> </w:t>
            </w:r>
          </w:p>
        </w:tc>
        <w:tc>
          <w:tcPr>
            <w:tcW w:w="2820" w:type="dxa"/>
            <w:gridSpan w:val="5"/>
            <w:tcBorders/>
            <w:vAlign w:val="center"/>
          </w:tcPr>
          <w:p>
            <w:pPr>
              <w:pStyle w:val="TableContents"/>
              <w:bidi w:val="0"/>
              <w:spacing w:before="0" w:after="1"/>
              <w:jc w:val="center"/>
              <w:rPr>
                <w:rFonts w:ascii="Times New Roman" w:hAnsi="Times New Roman"/>
                <w:b/>
                <w:color w:val="000000"/>
                <w:sz w:val="16"/>
              </w:rPr>
            </w:pPr>
            <w:r>
              <w:rPr>
                <w:rFonts w:ascii="Times New Roman" w:hAnsi="Times New Roman"/>
                <w:b/>
                <w:color w:val="000000"/>
                <w:sz w:val="16"/>
              </w:rPr>
              <w:t xml:space="preserve">Three Months Ended </w:t>
            </w:r>
          </w:p>
        </w:tc>
        <w:tc>
          <w:tcPr>
            <w:tcW w:w="176" w:type="dxa"/>
            <w:tcBorders/>
            <w:vAlign w:val="center"/>
          </w:tcPr>
          <w:p>
            <w:pPr>
              <w:pStyle w:val="TableContents"/>
              <w:bidi w:val="0"/>
              <w:spacing w:before="0" w:after="1"/>
              <w:jc w:val="center"/>
              <w:rPr/>
            </w:pPr>
            <w:r>
              <w:rPr/>
              <w:t xml:space="preserve">  </w:t>
            </w:r>
          </w:p>
        </w:tc>
        <w:tc>
          <w:tcPr>
            <w:tcW w:w="2871" w:type="dxa"/>
            <w:gridSpan w:val="5"/>
            <w:tcBorders/>
            <w:vAlign w:val="center"/>
          </w:tcPr>
          <w:p>
            <w:pPr>
              <w:pStyle w:val="TableContents"/>
              <w:bidi w:val="0"/>
              <w:spacing w:before="0" w:after="1"/>
              <w:jc w:val="center"/>
              <w:rPr>
                <w:rFonts w:ascii="Times New Roman" w:hAnsi="Times New Roman"/>
                <w:b/>
                <w:color w:val="000000"/>
                <w:sz w:val="16"/>
              </w:rPr>
            </w:pPr>
            <w:r>
              <w:rPr>
                <w:rFonts w:ascii="Times New Roman" w:hAnsi="Times New Roman"/>
                <w:b/>
                <w:color w:val="000000"/>
                <w:sz w:val="16"/>
              </w:rPr>
              <w:t xml:space="preserve">Six Months Ended </w:t>
            </w:r>
          </w:p>
        </w:tc>
      </w:tr>
      <w:tr>
        <w:trPr/>
        <w:tc>
          <w:tcPr>
            <w:tcW w:w="3982" w:type="dxa"/>
            <w:tcBorders/>
            <w:vAlign w:val="center"/>
          </w:tcPr>
          <w:p>
            <w:pPr>
              <w:pStyle w:val="TableContents"/>
              <w:bidi w:val="0"/>
              <w:spacing w:before="0" w:after="1"/>
              <w:jc w:val="left"/>
              <w:rPr/>
            </w:pPr>
            <w:r>
              <w:rPr/>
              <w:t xml:space="preserve">  </w:t>
            </w:r>
          </w:p>
        </w:tc>
        <w:tc>
          <w:tcPr>
            <w:tcW w:w="356" w:type="dxa"/>
            <w:tcBorders/>
            <w:vAlign w:val="center"/>
          </w:tcPr>
          <w:p>
            <w:pPr>
              <w:pStyle w:val="TableContents"/>
              <w:bidi w:val="0"/>
              <w:spacing w:before="0" w:after="1"/>
              <w:jc w:val="center"/>
              <w:rPr/>
            </w:pPr>
            <w:r>
              <w:rPr/>
              <w:t xml:space="preserve">  </w:t>
            </w:r>
          </w:p>
        </w:tc>
        <w:tc>
          <w:tcPr>
            <w:tcW w:w="2820" w:type="dxa"/>
            <w:gridSpan w:val="5"/>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June 30, </w:t>
            </w:r>
            <w:r>
              <w:rPr/>
              <w:t xml:space="preserve"> </w:t>
            </w:r>
          </w:p>
        </w:tc>
        <w:tc>
          <w:tcPr>
            <w:tcW w:w="176" w:type="dxa"/>
            <w:tcBorders/>
            <w:vAlign w:val="center"/>
          </w:tcPr>
          <w:p>
            <w:pPr>
              <w:pStyle w:val="TableContents"/>
              <w:bidi w:val="0"/>
              <w:spacing w:before="0" w:after="1"/>
              <w:jc w:val="center"/>
              <w:rPr/>
            </w:pPr>
            <w:r>
              <w:rPr/>
              <w:t xml:space="preserve">  </w:t>
            </w:r>
          </w:p>
        </w:tc>
        <w:tc>
          <w:tcPr>
            <w:tcW w:w="2871" w:type="dxa"/>
            <w:gridSpan w:val="5"/>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June 30, </w:t>
            </w:r>
            <w:r>
              <w:rPr/>
              <w:t xml:space="preserve"> </w:t>
            </w:r>
          </w:p>
        </w:tc>
      </w:tr>
      <w:tr>
        <w:trPr/>
        <w:tc>
          <w:tcPr>
            <w:tcW w:w="3982" w:type="dxa"/>
            <w:tcBorders/>
            <w:vAlign w:val="center"/>
          </w:tcPr>
          <w:p>
            <w:pPr>
              <w:pStyle w:val="TableContents"/>
              <w:bidi w:val="0"/>
              <w:spacing w:before="0" w:after="1"/>
              <w:jc w:val="left"/>
              <w:rPr/>
            </w:pPr>
            <w:r>
              <w:rPr/>
              <w:t xml:space="preserve">  </w:t>
            </w:r>
          </w:p>
        </w:tc>
        <w:tc>
          <w:tcPr>
            <w:tcW w:w="356" w:type="dxa"/>
            <w:tcBorders/>
            <w:vAlign w:val="center"/>
          </w:tcPr>
          <w:p>
            <w:pPr>
              <w:pStyle w:val="TableContents"/>
              <w:bidi w:val="0"/>
              <w:spacing w:before="0" w:after="1"/>
              <w:jc w:val="center"/>
              <w:rPr/>
            </w:pPr>
            <w:r>
              <w:rPr>
                <w:color w:val="000000"/>
              </w:rPr>
              <w:t>    </w:t>
            </w:r>
            <w:r>
              <w:rPr/>
              <w:t xml:space="preserve"> </w:t>
            </w:r>
          </w:p>
        </w:tc>
        <w:tc>
          <w:tcPr>
            <w:tcW w:w="1232"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2026</w:t>
            </w:r>
            <w:r>
              <w:rPr/>
              <w:t xml:space="preserve"> </w:t>
            </w:r>
          </w:p>
        </w:tc>
        <w:tc>
          <w:tcPr>
            <w:tcW w:w="356" w:type="dxa"/>
            <w:tcBorders/>
            <w:vAlign w:val="center"/>
          </w:tcPr>
          <w:p>
            <w:pPr>
              <w:pStyle w:val="TableContents"/>
              <w:bidi w:val="0"/>
              <w:spacing w:before="0" w:after="1"/>
              <w:jc w:val="center"/>
              <w:rPr/>
            </w:pPr>
            <w:r>
              <w:rPr>
                <w:color w:val="000000"/>
              </w:rPr>
              <w:t>    </w:t>
            </w:r>
            <w:r>
              <w:rPr/>
              <w:t xml:space="preserve"> </w:t>
            </w:r>
          </w:p>
        </w:tc>
        <w:tc>
          <w:tcPr>
            <w:tcW w:w="1232"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2025</w:t>
            </w:r>
            <w:r>
              <w:rPr/>
              <w:t xml:space="preserve"> </w:t>
            </w:r>
          </w:p>
        </w:tc>
        <w:tc>
          <w:tcPr>
            <w:tcW w:w="176" w:type="dxa"/>
            <w:tcBorders/>
            <w:vAlign w:val="center"/>
          </w:tcPr>
          <w:p>
            <w:pPr>
              <w:pStyle w:val="TableContents"/>
              <w:bidi w:val="0"/>
              <w:spacing w:before="0" w:after="1"/>
              <w:jc w:val="center"/>
              <w:rPr/>
            </w:pPr>
            <w:r>
              <w:rPr/>
              <w:t xml:space="preserve">  </w:t>
            </w:r>
          </w:p>
        </w:tc>
        <w:tc>
          <w:tcPr>
            <w:tcW w:w="1232"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2026</w:t>
            </w:r>
            <w:r>
              <w:rPr/>
              <w:t xml:space="preserve"> </w:t>
            </w:r>
          </w:p>
        </w:tc>
        <w:tc>
          <w:tcPr>
            <w:tcW w:w="356" w:type="dxa"/>
            <w:tcBorders/>
            <w:vAlign w:val="center"/>
          </w:tcPr>
          <w:p>
            <w:pPr>
              <w:pStyle w:val="TableContents"/>
              <w:bidi w:val="0"/>
              <w:spacing w:before="0" w:after="1"/>
              <w:jc w:val="center"/>
              <w:rPr/>
            </w:pPr>
            <w:r>
              <w:rPr>
                <w:color w:val="000000"/>
              </w:rPr>
              <w:t>    </w:t>
            </w:r>
            <w:r>
              <w:rPr/>
              <w:t xml:space="preserve"> </w:t>
            </w:r>
          </w:p>
        </w:tc>
        <w:tc>
          <w:tcPr>
            <w:tcW w:w="1283"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2025</w:t>
            </w:r>
            <w:r>
              <w:rPr/>
              <w:t xml:space="preserve"> </w:t>
            </w:r>
          </w:p>
        </w:tc>
      </w:tr>
      <w:tr>
        <w:trPr/>
        <w:tc>
          <w:tcPr>
            <w:tcW w:w="3982" w:type="dxa"/>
            <w:tcBorders/>
            <w:vAlign w:val="center"/>
          </w:tcPr>
          <w:p>
            <w:pPr>
              <w:pStyle w:val="TableContents"/>
              <w:bidi w:val="0"/>
              <w:spacing w:before="0" w:after="1"/>
              <w:jc w:val="left"/>
              <w:rPr/>
            </w:pPr>
            <w:r>
              <w:rPr>
                <w:rFonts w:ascii="Times New Roman" w:hAnsi="Times New Roman"/>
                <w:b/>
                <w:color w:val="000000"/>
                <w:sz w:val="18"/>
              </w:rPr>
              <w:t>INTEREST INCOME</w:t>
            </w:r>
            <w:r>
              <w:rPr/>
              <w:t xml:space="preserve"> </w:t>
            </w:r>
          </w:p>
        </w:tc>
        <w:tc>
          <w:tcPr>
            <w:tcW w:w="356" w:type="dxa"/>
            <w:tcBorders/>
            <w:vAlign w:val="center"/>
          </w:tcPr>
          <w:p>
            <w:pPr>
              <w:pStyle w:val="TableContents"/>
              <w:bidi w:val="0"/>
              <w:spacing w:before="0" w:after="1"/>
              <w:jc w:val="left"/>
              <w:rPr/>
            </w:pPr>
            <w:r>
              <w:rPr>
                <w:color w:val="000000"/>
              </w:rPr>
              <w:t> </w:t>
            </w: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right"/>
              <w:rPr/>
            </w:pPr>
            <w:r>
              <w:rPr>
                <w:color w:val="000000"/>
              </w:rPr>
              <w:t>  </w:t>
            </w:r>
            <w:r>
              <w:rPr/>
              <w:t xml:space="preserve"> </w:t>
            </w:r>
          </w:p>
        </w:tc>
        <w:tc>
          <w:tcPr>
            <w:tcW w:w="356" w:type="dxa"/>
            <w:tcBorders/>
            <w:vAlign w:val="center"/>
          </w:tcPr>
          <w:p>
            <w:pPr>
              <w:pStyle w:val="TableContents"/>
              <w:bidi w:val="0"/>
              <w:spacing w:before="0" w:after="1"/>
              <w:jc w:val="left"/>
              <w:rPr/>
            </w:pPr>
            <w:r>
              <w:rPr>
                <w:color w:val="000000"/>
              </w:rPr>
              <w:t> </w:t>
            </w: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right"/>
              <w:rPr/>
            </w:pPr>
            <w:r>
              <w:rPr>
                <w:color w:val="000000"/>
              </w:rPr>
              <w:t>  </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right"/>
              <w:rPr/>
            </w:pPr>
            <w:r>
              <w:rPr>
                <w:color w:val="000000"/>
              </w:rPr>
              <w:t>  </w:t>
            </w:r>
            <w:r>
              <w:rPr/>
              <w:t xml:space="preserve"> </w:t>
            </w:r>
          </w:p>
        </w:tc>
        <w:tc>
          <w:tcPr>
            <w:tcW w:w="356" w:type="dxa"/>
            <w:tcBorders/>
            <w:vAlign w:val="center"/>
          </w:tcPr>
          <w:p>
            <w:pPr>
              <w:pStyle w:val="TableContents"/>
              <w:bidi w:val="0"/>
              <w:spacing w:before="0" w:after="1"/>
              <w:jc w:val="left"/>
              <w:rPr/>
            </w:pPr>
            <w:r>
              <w:rPr>
                <w:color w:val="000000"/>
              </w:rPr>
              <w:t> </w:t>
            </w:r>
            <w:r>
              <w:rPr/>
              <w:t xml:space="preserve"> </w:t>
            </w:r>
          </w:p>
        </w:tc>
        <w:tc>
          <w:tcPr>
            <w:tcW w:w="226" w:type="dxa"/>
            <w:tcBorders/>
            <w:vAlign w:val="center"/>
          </w:tcPr>
          <w:p>
            <w:pPr>
              <w:pStyle w:val="TableContents"/>
              <w:bidi w:val="0"/>
              <w:spacing w:before="0" w:after="1"/>
              <w:jc w:val="left"/>
              <w:rPr/>
            </w:pPr>
            <w:r>
              <w:rPr/>
              <w:t xml:space="preserve">  </w:t>
            </w:r>
          </w:p>
        </w:tc>
        <w:tc>
          <w:tcPr>
            <w:tcW w:w="1057" w:type="dxa"/>
            <w:tcBorders/>
            <w:vAlign w:val="center"/>
          </w:tcPr>
          <w:p>
            <w:pPr>
              <w:pStyle w:val="TableContents"/>
              <w:bidi w:val="0"/>
              <w:spacing w:before="0" w:after="1"/>
              <w:jc w:val="right"/>
              <w:rPr/>
            </w:pPr>
            <w:r>
              <w:rPr>
                <w:color w:val="000000"/>
              </w:rPr>
              <w:t>  </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Interest and fees on loans</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29,625</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28,103</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59,415</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55,417</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Interest on investment securities:</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right"/>
              <w:rPr/>
            </w:pP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right"/>
              <w:rPr/>
            </w:pP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right"/>
              <w:rPr/>
            </w:pP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57" w:type="dxa"/>
            <w:tcBorders/>
            <w:vAlign w:val="center"/>
          </w:tcPr>
          <w:p>
            <w:pPr>
              <w:pStyle w:val="TableContents"/>
              <w:bidi w:val="0"/>
              <w:spacing w:before="0" w:after="1"/>
              <w:jc w:val="right"/>
              <w:rPr/>
            </w:pPr>
            <w:r>
              <w:rPr/>
              <w:t xml:space="preserve">  </w:t>
            </w:r>
          </w:p>
        </w:tc>
      </w:tr>
      <w:tr>
        <w:trPr/>
        <w:tc>
          <w:tcPr>
            <w:tcW w:w="3982" w:type="dxa"/>
            <w:tcBorders/>
            <w:vAlign w:val="center"/>
          </w:tcPr>
          <w:p>
            <w:pPr>
              <w:pStyle w:val="TableContents"/>
              <w:bidi w:val="0"/>
              <w:spacing w:before="0" w:after="1"/>
              <w:ind w:left="240" w:right="0" w:hanging="0"/>
              <w:jc w:val="left"/>
              <w:rPr/>
            </w:pPr>
            <w:r>
              <w:rPr>
                <w:rFonts w:ascii="Times New Roman" w:hAnsi="Times New Roman"/>
                <w:color w:val="000000"/>
                <w:sz w:val="18"/>
              </w:rPr>
              <w:t>Taxable</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2,447</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2,731</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4,930</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5,395</w:t>
            </w:r>
            <w:r>
              <w:rPr/>
              <w:t xml:space="preserve"> </w:t>
            </w:r>
          </w:p>
        </w:tc>
      </w:tr>
      <w:tr>
        <w:trPr/>
        <w:tc>
          <w:tcPr>
            <w:tcW w:w="3982" w:type="dxa"/>
            <w:tcBorders/>
            <w:vAlign w:val="center"/>
          </w:tcPr>
          <w:p>
            <w:pPr>
              <w:pStyle w:val="TableContents"/>
              <w:bidi w:val="0"/>
              <w:spacing w:before="0" w:after="1"/>
              <w:ind w:left="240" w:right="0" w:hanging="0"/>
              <w:jc w:val="left"/>
              <w:rPr/>
            </w:pPr>
            <w:r>
              <w:rPr>
                <w:rFonts w:ascii="Times New Roman" w:hAnsi="Times New Roman"/>
                <w:color w:val="000000"/>
                <w:sz w:val="18"/>
              </w:rPr>
              <w:t>Tax exempt</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499</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561</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1,001</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1,137</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Interest on Federal funds sold and other</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1,979</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1,829</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3,623</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5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3,182</w:t>
            </w:r>
            <w:r>
              <w:rPr/>
              <w:t xml:space="preserve"> </w:t>
            </w:r>
          </w:p>
        </w:tc>
      </w:tr>
      <w:tr>
        <w:trPr/>
        <w:tc>
          <w:tcPr>
            <w:tcW w:w="3982" w:type="dxa"/>
            <w:tcBorders/>
            <w:vAlign w:val="center"/>
          </w:tcPr>
          <w:p>
            <w:pPr>
              <w:pStyle w:val="TableContents"/>
              <w:bidi w:val="0"/>
              <w:spacing w:before="0" w:after="1"/>
              <w:ind w:left="240" w:right="0" w:hanging="0"/>
              <w:jc w:val="left"/>
              <w:rPr/>
            </w:pPr>
            <w:r>
              <w:rPr>
                <w:rFonts w:ascii="Times New Roman" w:hAnsi="Times New Roman"/>
                <w:color w:val="000000"/>
                <w:sz w:val="18"/>
              </w:rPr>
              <w:t>TOTAL INTEREST INCOME</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34,550</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33,224</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68,969</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5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65,131</w:t>
            </w:r>
            <w:r>
              <w:rPr/>
              <w:t xml:space="preserve"> </w:t>
            </w:r>
          </w:p>
        </w:tc>
      </w:tr>
      <w:tr>
        <w:trPr/>
        <w:tc>
          <w:tcPr>
            <w:tcW w:w="3982" w:type="dxa"/>
            <w:tcBorders/>
            <w:vAlign w:val="center"/>
          </w:tcPr>
          <w:p>
            <w:pPr>
              <w:pStyle w:val="TableContents"/>
              <w:bidi w:val="0"/>
              <w:spacing w:before="0" w:after="1"/>
              <w:jc w:val="left"/>
              <w:rPr/>
            </w:pPr>
            <w:r>
              <w:rPr>
                <w:rFonts w:ascii="Times New Roman" w:hAnsi="Times New Roman"/>
                <w:b/>
                <w:color w:val="000000"/>
                <w:sz w:val="18"/>
              </w:rPr>
              <w:t>INTEREST EXPENSE</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right"/>
              <w:rPr/>
            </w:pP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right"/>
              <w:rPr/>
            </w:pP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right"/>
              <w:rPr/>
            </w:pP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57" w:type="dxa"/>
            <w:tcBorders/>
            <w:vAlign w:val="center"/>
          </w:tcPr>
          <w:p>
            <w:pPr>
              <w:pStyle w:val="TableContents"/>
              <w:bidi w:val="0"/>
              <w:spacing w:before="0" w:after="1"/>
              <w:jc w:val="right"/>
              <w:rPr/>
            </w:pP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Savings and NOW accounts</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5,308</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5,256</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10,588</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10,150</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Time deposits</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256</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2,222</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966</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4,446</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FHLB advances</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134</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375</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232</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1,306</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Subordinated notes</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430</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231</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860</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5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461</w:t>
            </w:r>
            <w:r>
              <w:rPr/>
              <w:t xml:space="preserve"> </w:t>
            </w:r>
          </w:p>
        </w:tc>
      </w:tr>
      <w:tr>
        <w:trPr/>
        <w:tc>
          <w:tcPr>
            <w:tcW w:w="3982" w:type="dxa"/>
            <w:tcBorders/>
            <w:vAlign w:val="center"/>
          </w:tcPr>
          <w:p>
            <w:pPr>
              <w:pStyle w:val="TableContents"/>
              <w:bidi w:val="0"/>
              <w:spacing w:before="0" w:after="1"/>
              <w:ind w:left="240" w:right="0" w:hanging="0"/>
              <w:jc w:val="left"/>
              <w:rPr/>
            </w:pPr>
            <w:r>
              <w:rPr>
                <w:rFonts w:ascii="Times New Roman" w:hAnsi="Times New Roman"/>
                <w:color w:val="000000"/>
                <w:sz w:val="18"/>
              </w:rPr>
              <w:t>TOTAL INTEREST EXPENSE</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6,128</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8,084</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12,646</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5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16,363</w:t>
            </w:r>
            <w:r>
              <w:rPr/>
              <w:t xml:space="preserve"> </w:t>
            </w:r>
          </w:p>
        </w:tc>
      </w:tr>
      <w:tr>
        <w:trPr/>
        <w:tc>
          <w:tcPr>
            <w:tcW w:w="3982" w:type="dxa"/>
            <w:tcBorders/>
            <w:vAlign w:val="center"/>
          </w:tcPr>
          <w:p>
            <w:pPr>
              <w:pStyle w:val="TableContents"/>
              <w:bidi w:val="0"/>
              <w:spacing w:before="0" w:after="1"/>
              <w:ind w:left="240" w:right="0" w:hanging="0"/>
              <w:jc w:val="left"/>
              <w:rPr/>
            </w:pPr>
            <w:r>
              <w:rPr>
                <w:rFonts w:ascii="Times New Roman" w:hAnsi="Times New Roman"/>
                <w:color w:val="000000"/>
                <w:sz w:val="18"/>
              </w:rPr>
              <w:t>NET INTEREST INCOME</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28,422</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25,140</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56,323</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48,768</w:t>
            </w:r>
            <w:r>
              <w:rPr/>
              <w:t xml:space="preserve"> </w:t>
            </w:r>
          </w:p>
        </w:tc>
      </w:tr>
      <w:tr>
        <w:trPr/>
        <w:tc>
          <w:tcPr>
            <w:tcW w:w="3982" w:type="dxa"/>
            <w:tcBorders/>
            <w:vAlign w:val="center"/>
          </w:tcPr>
          <w:p>
            <w:pPr>
              <w:pStyle w:val="TableContents"/>
              <w:bidi w:val="0"/>
              <w:spacing w:before="0" w:after="1"/>
              <w:jc w:val="left"/>
              <w:rPr/>
            </w:pPr>
            <w:r>
              <w:rPr>
                <w:rFonts w:ascii="Times New Roman" w:hAnsi="Times New Roman"/>
                <w:color w:val="000000"/>
                <w:sz w:val="18"/>
              </w:rPr>
              <w:t>Provision (credit) for credit losses - loans</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jc w:val="right"/>
              <w:rPr/>
            </w:pPr>
            <w:r>
              <w:rPr>
                <w:rFonts w:ascii="Times New Roman" w:hAnsi="Times New Roman"/>
                <w:color w:val="000000"/>
                <w:sz w:val="18"/>
              </w:rPr>
              <w:t>(1,014)</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2,113</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jc w:val="right"/>
              <w:rPr/>
            </w:pPr>
            <w:r>
              <w:rPr>
                <w:rFonts w:ascii="Times New Roman" w:hAnsi="Times New Roman"/>
                <w:color w:val="000000"/>
                <w:sz w:val="18"/>
              </w:rPr>
              <w:t>(1,450)</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5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2,315</w:t>
            </w:r>
            <w:r>
              <w:rPr/>
              <w:t xml:space="preserve"> </w:t>
            </w:r>
          </w:p>
        </w:tc>
      </w:tr>
      <w:tr>
        <w:trPr/>
        <w:tc>
          <w:tcPr>
            <w:tcW w:w="3982" w:type="dxa"/>
            <w:tcBorders/>
            <w:vAlign w:val="center"/>
          </w:tcPr>
          <w:p>
            <w:pPr>
              <w:pStyle w:val="TableContents"/>
              <w:bidi w:val="0"/>
              <w:spacing w:before="0" w:after="1"/>
              <w:ind w:left="240" w:right="0" w:hanging="0"/>
              <w:jc w:val="left"/>
              <w:rPr/>
            </w:pPr>
            <w:r>
              <w:rPr>
                <w:rFonts w:ascii="Times New Roman" w:hAnsi="Times New Roman"/>
                <w:color w:val="000000"/>
                <w:sz w:val="18"/>
              </w:rPr>
              <w:t>NET INTEREST INCOME AFTER PROVISION (CREDIT) FOR CREDIT LOSSES</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29,436</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23,027</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57,773</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5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46,453</w:t>
            </w:r>
            <w:r>
              <w:rPr/>
              <w:t xml:space="preserve"> </w:t>
            </w:r>
          </w:p>
        </w:tc>
      </w:tr>
      <w:tr>
        <w:trPr/>
        <w:tc>
          <w:tcPr>
            <w:tcW w:w="3982" w:type="dxa"/>
            <w:tcBorders/>
            <w:vAlign w:val="center"/>
          </w:tcPr>
          <w:p>
            <w:pPr>
              <w:pStyle w:val="TableContents"/>
              <w:bidi w:val="0"/>
              <w:spacing w:before="0" w:after="1"/>
              <w:jc w:val="left"/>
              <w:rPr/>
            </w:pPr>
            <w:r>
              <w:rPr>
                <w:rFonts w:ascii="Times New Roman" w:hAnsi="Times New Roman"/>
                <w:b/>
                <w:color w:val="000000"/>
                <w:sz w:val="18"/>
              </w:rPr>
              <w:t>NONINTEREST INCOME (LOSS)</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right"/>
              <w:rPr/>
            </w:pP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right"/>
              <w:rPr/>
            </w:pP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right"/>
              <w:rPr/>
            </w:pP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57" w:type="dxa"/>
            <w:tcBorders/>
            <w:vAlign w:val="center"/>
          </w:tcPr>
          <w:p>
            <w:pPr>
              <w:pStyle w:val="TableContents"/>
              <w:bidi w:val="0"/>
              <w:spacing w:before="0" w:after="1"/>
              <w:jc w:val="right"/>
              <w:rPr/>
            </w:pP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Service charges on deposit accounts</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329</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334</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684</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624</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Trust income</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1,666</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1,573</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3,393</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3,247</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Investment advisory income</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1,552</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1,823</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3,094</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3,589</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Investment securities gains (losses), net</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color w:val="000000"/>
              </w:rPr>
              <w:t>—</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jc w:val="right"/>
              <w:rPr/>
            </w:pPr>
            <w:r>
              <w:rPr>
                <w:rFonts w:ascii="Times New Roman" w:hAnsi="Times New Roman"/>
                <w:color w:val="000000"/>
                <w:sz w:val="18"/>
              </w:rPr>
              <w:t>(727)</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color w:val="000000"/>
              </w:rPr>
              <w:t>—</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jc w:val="right"/>
              <w:rPr/>
            </w:pPr>
            <w:r>
              <w:rPr>
                <w:rFonts w:ascii="Times New Roman" w:hAnsi="Times New Roman"/>
                <w:color w:val="000000"/>
                <w:sz w:val="18"/>
              </w:rPr>
              <w:t>(727)</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Earnings on bank owned life insurance</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195</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234</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387</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493</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Proceeds from bank owned life insurance benefit</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ind w:left="0" w:right="60" w:hanging="0"/>
              <w:jc w:val="right"/>
              <w:rPr/>
            </w:pPr>
            <w:r>
              <w:rPr>
                <w:color w:val="000000"/>
              </w:rPr>
              <w:t>—</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2,399</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ind w:left="0" w:right="60" w:hanging="0"/>
              <w:jc w:val="right"/>
              <w:rPr/>
            </w:pPr>
            <w:r>
              <w:rPr>
                <w:color w:val="000000"/>
              </w:rPr>
              <w:t>—</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2,399</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Gain on sale of assets</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ind w:left="0" w:right="60" w:hanging="0"/>
              <w:jc w:val="right"/>
              <w:rPr/>
            </w:pPr>
            <w:r>
              <w:rPr>
                <w:color w:val="000000"/>
              </w:rPr>
              <w:t>—</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1,236</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ind w:left="0" w:right="60" w:hanging="0"/>
              <w:jc w:val="right"/>
              <w:rPr/>
            </w:pPr>
            <w:r>
              <w:rPr>
                <w:color w:val="000000"/>
              </w:rPr>
              <w:t>—</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1,236</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Valuation loss on loans held-for-sale</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right"/>
              <w:rPr/>
            </w:pPr>
            <w:r>
              <w:rPr>
                <w:rFonts w:ascii="Times New Roman" w:hAnsi="Times New Roman"/>
                <w:color w:val="000000"/>
                <w:sz w:val="18"/>
              </w:rPr>
              <w:t>(4,761)</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ind w:left="0" w:right="60" w:hanging="0"/>
              <w:jc w:val="right"/>
              <w:rPr/>
            </w:pPr>
            <w:r>
              <w:rPr>
                <w:color w:val="000000"/>
              </w:rPr>
              <w:t>—</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right"/>
              <w:rPr/>
            </w:pPr>
            <w:r>
              <w:rPr>
                <w:rFonts w:ascii="Times New Roman" w:hAnsi="Times New Roman"/>
                <w:color w:val="000000"/>
                <w:sz w:val="18"/>
              </w:rPr>
              <w:t>(4,761)</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57" w:type="dxa"/>
            <w:tcBorders/>
            <w:vAlign w:val="center"/>
          </w:tcPr>
          <w:p>
            <w:pPr>
              <w:pStyle w:val="TableContents"/>
              <w:bidi w:val="0"/>
              <w:spacing w:before="0" w:after="1"/>
              <w:ind w:left="0" w:right="60" w:hanging="0"/>
              <w:jc w:val="right"/>
              <w:rPr/>
            </w:pPr>
            <w:r>
              <w:rPr>
                <w:color w:val="000000"/>
              </w:rPr>
              <w:t>—</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Other</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412</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444</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773</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5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811</w:t>
            </w:r>
            <w:r>
              <w:rPr/>
              <w:t xml:space="preserve"> </w:t>
            </w:r>
          </w:p>
        </w:tc>
      </w:tr>
      <w:tr>
        <w:trPr/>
        <w:tc>
          <w:tcPr>
            <w:tcW w:w="3982" w:type="dxa"/>
            <w:tcBorders/>
            <w:vAlign w:val="center"/>
          </w:tcPr>
          <w:p>
            <w:pPr>
              <w:pStyle w:val="TableContents"/>
              <w:bidi w:val="0"/>
              <w:spacing w:before="0" w:after="1"/>
              <w:ind w:left="240" w:right="0" w:hanging="0"/>
              <w:jc w:val="left"/>
              <w:rPr/>
            </w:pPr>
            <w:r>
              <w:rPr>
                <w:rFonts w:ascii="Times New Roman" w:hAnsi="Times New Roman"/>
                <w:color w:val="000000"/>
                <w:sz w:val="18"/>
              </w:rPr>
              <w:t>TOTAL NONINTEREST INCOME (LOSS)</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jc w:val="right"/>
              <w:rPr/>
            </w:pPr>
            <w:r>
              <w:rPr>
                <w:rFonts w:ascii="Times New Roman" w:hAnsi="Times New Roman"/>
                <w:color w:val="000000"/>
                <w:sz w:val="18"/>
              </w:rPr>
              <w:t>(607)</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7,316</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3,570</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5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11,672</w:t>
            </w:r>
            <w:r>
              <w:rPr/>
              <w:t xml:space="preserve"> </w:t>
            </w:r>
          </w:p>
        </w:tc>
      </w:tr>
      <w:tr>
        <w:trPr/>
        <w:tc>
          <w:tcPr>
            <w:tcW w:w="3982" w:type="dxa"/>
            <w:tcBorders/>
            <w:vAlign w:val="center"/>
          </w:tcPr>
          <w:p>
            <w:pPr>
              <w:pStyle w:val="TableContents"/>
              <w:bidi w:val="0"/>
              <w:spacing w:before="0" w:after="1"/>
              <w:jc w:val="left"/>
              <w:rPr/>
            </w:pPr>
            <w:r>
              <w:rPr>
                <w:rFonts w:ascii="Times New Roman" w:hAnsi="Times New Roman"/>
                <w:b/>
                <w:color w:val="000000"/>
                <w:sz w:val="18"/>
              </w:rPr>
              <w:t>NONINTEREST EXPENSE</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right"/>
              <w:rPr/>
            </w:pP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right"/>
              <w:rPr/>
            </w:pP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right"/>
              <w:rPr/>
            </w:pP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57" w:type="dxa"/>
            <w:tcBorders/>
            <w:vAlign w:val="center"/>
          </w:tcPr>
          <w:p>
            <w:pPr>
              <w:pStyle w:val="TableContents"/>
              <w:bidi w:val="0"/>
              <w:spacing w:before="0" w:after="1"/>
              <w:jc w:val="right"/>
              <w:rPr/>
            </w:pP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Salaries</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7,512</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6,813</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14,921</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13,718</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Employee benefits</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3,005</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2,338</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6,107</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4,788</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Occupancy expense</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1,251</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1,299</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2,587</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2,576</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Professional fees</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1,861</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1,666</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3,326</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3,013</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Directors’ fees and expenses</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535</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319</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1,157</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625</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Computer software expense</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1,959</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2,117</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3,838</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4,099</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FDIC assessment</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160</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330</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490</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660</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Advertising expenses</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496</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481</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921</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870</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Advisor expenses related to trust income</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26</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22</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50</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44</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Telephone expenses</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274</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203</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538</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410</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Intangible amortization</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72</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72</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143</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143</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Other</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118</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1,094</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1,115</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5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2,302</w:t>
            </w:r>
            <w:r>
              <w:rPr/>
              <w:t xml:space="preserve"> </w:t>
            </w:r>
          </w:p>
        </w:tc>
      </w:tr>
      <w:tr>
        <w:trPr/>
        <w:tc>
          <w:tcPr>
            <w:tcW w:w="3982" w:type="dxa"/>
            <w:tcBorders/>
            <w:vAlign w:val="center"/>
          </w:tcPr>
          <w:p>
            <w:pPr>
              <w:pStyle w:val="TableContents"/>
              <w:bidi w:val="0"/>
              <w:spacing w:before="0" w:after="1"/>
              <w:ind w:left="240" w:right="0" w:hanging="0"/>
              <w:jc w:val="left"/>
              <w:rPr/>
            </w:pPr>
            <w:r>
              <w:rPr>
                <w:rFonts w:ascii="Times New Roman" w:hAnsi="Times New Roman"/>
                <w:color w:val="000000"/>
                <w:sz w:val="18"/>
              </w:rPr>
              <w:t>TOTAL NONINTEREST EXPENSE</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17,269</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16,754</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35,193</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5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33,248</w:t>
            </w:r>
            <w:r>
              <w:rPr/>
              <w:t xml:space="preserve"> </w:t>
            </w:r>
          </w:p>
        </w:tc>
      </w:tr>
      <w:tr>
        <w:trPr/>
        <w:tc>
          <w:tcPr>
            <w:tcW w:w="3982" w:type="dxa"/>
            <w:tcBorders/>
            <w:vAlign w:val="center"/>
          </w:tcPr>
          <w:p>
            <w:pPr>
              <w:pStyle w:val="TableContents"/>
              <w:bidi w:val="0"/>
              <w:spacing w:before="0" w:after="1"/>
              <w:ind w:left="120" w:right="0" w:hanging="0"/>
              <w:jc w:val="left"/>
              <w:rPr/>
            </w:pPr>
            <w:r>
              <w:rPr>
                <w:rFonts w:ascii="Times New Roman" w:hAnsi="Times New Roman"/>
                <w:color w:val="000000"/>
                <w:sz w:val="18"/>
              </w:rPr>
              <w:t>Income before income taxes</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11,560</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13,589</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26,150</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24,877</w:t>
            </w:r>
            <w:r>
              <w:rPr/>
              <w:t xml:space="preserve"> </w:t>
            </w:r>
          </w:p>
        </w:tc>
      </w:tr>
      <w:tr>
        <w:trPr/>
        <w:tc>
          <w:tcPr>
            <w:tcW w:w="3982" w:type="dxa"/>
            <w:tcBorders/>
            <w:vAlign w:val="center"/>
          </w:tcPr>
          <w:p>
            <w:pPr>
              <w:pStyle w:val="TableContents"/>
              <w:bidi w:val="0"/>
              <w:spacing w:before="0" w:after="1"/>
              <w:jc w:val="left"/>
              <w:rPr/>
            </w:pPr>
            <w:r>
              <w:rPr>
                <w:rFonts w:ascii="Times New Roman" w:hAnsi="Times New Roman"/>
                <w:color w:val="000000"/>
                <w:sz w:val="18"/>
              </w:rPr>
              <w:t>Provision (credit) for income taxes</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jc w:val="right"/>
              <w:rPr/>
            </w:pPr>
            <w:r>
              <w:rPr>
                <w:rFonts w:ascii="Times New Roman" w:hAnsi="Times New Roman"/>
                <w:color w:val="000000"/>
                <w:sz w:val="18"/>
              </w:rPr>
              <w:t>(2,099)</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3,128</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0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1,207</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105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5,712</w:t>
            </w:r>
            <w:r>
              <w:rPr/>
              <w:t xml:space="preserve"> </w:t>
            </w:r>
          </w:p>
        </w:tc>
      </w:tr>
      <w:tr>
        <w:trPr/>
        <w:tc>
          <w:tcPr>
            <w:tcW w:w="3982" w:type="dxa"/>
            <w:tcBorders/>
            <w:vAlign w:val="center"/>
          </w:tcPr>
          <w:p>
            <w:pPr>
              <w:pStyle w:val="TableContents"/>
              <w:bidi w:val="0"/>
              <w:spacing w:before="0" w:after="1"/>
              <w:ind w:left="240" w:right="0" w:hanging="0"/>
              <w:jc w:val="left"/>
              <w:rPr/>
            </w:pPr>
            <w:r>
              <w:rPr>
                <w:rFonts w:ascii="Times New Roman" w:hAnsi="Times New Roman"/>
                <w:color w:val="000000"/>
                <w:sz w:val="18"/>
              </w:rPr>
              <w:t>NET INCOME</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06"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13,659</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06"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10,461</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06"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24,943</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57"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19,165</w:t>
            </w:r>
            <w:r>
              <w:rPr/>
              <w:t xml:space="preserve"> </w:t>
            </w:r>
          </w:p>
        </w:tc>
      </w:tr>
      <w:tr>
        <w:trPr/>
        <w:tc>
          <w:tcPr>
            <w:tcW w:w="3982" w:type="dxa"/>
            <w:tcBorders/>
            <w:vAlign w:val="center"/>
          </w:tcPr>
          <w:p>
            <w:pPr>
              <w:pStyle w:val="TableContents"/>
              <w:bidi w:val="0"/>
              <w:spacing w:before="0" w:after="1"/>
              <w:ind w:left="240" w:right="0" w:hanging="0"/>
              <w:jc w:val="left"/>
              <w:rPr/>
            </w:pP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right"/>
              <w:rPr/>
            </w:pP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right"/>
              <w:rPr/>
            </w:pP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06" w:type="dxa"/>
            <w:tcBorders/>
            <w:vAlign w:val="center"/>
          </w:tcPr>
          <w:p>
            <w:pPr>
              <w:pStyle w:val="TableContents"/>
              <w:bidi w:val="0"/>
              <w:spacing w:before="0" w:after="1"/>
              <w:jc w:val="right"/>
              <w:rPr/>
            </w:pP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t xml:space="preserve">  </w:t>
            </w:r>
          </w:p>
        </w:tc>
        <w:tc>
          <w:tcPr>
            <w:tcW w:w="1057" w:type="dxa"/>
            <w:tcBorders/>
            <w:vAlign w:val="center"/>
          </w:tcPr>
          <w:p>
            <w:pPr>
              <w:pStyle w:val="TableContents"/>
              <w:bidi w:val="0"/>
              <w:spacing w:before="0" w:after="1"/>
              <w:jc w:val="right"/>
              <w:rPr/>
            </w:pPr>
            <w:r>
              <w:rPr/>
              <w:t xml:space="preserve">  </w:t>
            </w:r>
          </w:p>
        </w:tc>
      </w:tr>
      <w:tr>
        <w:trPr/>
        <w:tc>
          <w:tcPr>
            <w:tcW w:w="3982" w:type="dxa"/>
            <w:tcBorders/>
            <w:vAlign w:val="center"/>
          </w:tcPr>
          <w:p>
            <w:pPr>
              <w:pStyle w:val="TableContents"/>
              <w:bidi w:val="0"/>
              <w:spacing w:before="0" w:after="1"/>
              <w:jc w:val="left"/>
              <w:rPr/>
            </w:pPr>
            <w:r>
              <w:rPr>
                <w:rFonts w:ascii="Times New Roman" w:hAnsi="Times New Roman"/>
                <w:color w:val="000000"/>
                <w:sz w:val="18"/>
              </w:rPr>
              <w:t>Basic and diluted earnings per share</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1.02</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0.87</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1.87</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1.64</w:t>
            </w:r>
            <w:r>
              <w:rPr/>
              <w:t xml:space="preserve"> </w:t>
            </w:r>
          </w:p>
        </w:tc>
      </w:tr>
      <w:tr>
        <w:trPr/>
        <w:tc>
          <w:tcPr>
            <w:tcW w:w="3982" w:type="dxa"/>
            <w:tcBorders/>
            <w:vAlign w:val="center"/>
          </w:tcPr>
          <w:p>
            <w:pPr>
              <w:pStyle w:val="TableContents"/>
              <w:bidi w:val="0"/>
              <w:spacing w:before="0" w:after="1"/>
              <w:jc w:val="left"/>
              <w:rPr/>
            </w:pPr>
            <w:r>
              <w:rPr>
                <w:rFonts w:ascii="Times New Roman" w:hAnsi="Times New Roman"/>
                <w:color w:val="000000"/>
                <w:sz w:val="18"/>
              </w:rPr>
              <w:t>Weighted average shares outstanding</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13,381,376</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11,994,815</w:t>
            </w:r>
            <w:r>
              <w:rPr/>
              <w:t xml:space="preserve"> </w:t>
            </w:r>
          </w:p>
        </w:tc>
        <w:tc>
          <w:tcPr>
            <w:tcW w:w="17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06" w:type="dxa"/>
            <w:tcBorders/>
            <w:vAlign w:val="center"/>
          </w:tcPr>
          <w:p>
            <w:pPr>
              <w:pStyle w:val="TableContents"/>
              <w:bidi w:val="0"/>
              <w:spacing w:before="0" w:after="1"/>
              <w:ind w:left="0" w:right="60" w:hanging="0"/>
              <w:jc w:val="right"/>
              <w:rPr/>
            </w:pPr>
            <w:r>
              <w:rPr>
                <w:rFonts w:ascii="Times New Roman" w:hAnsi="Times New Roman"/>
                <w:color w:val="000000"/>
                <w:sz w:val="18"/>
              </w:rPr>
              <w:t>13,366,712</w:t>
            </w:r>
            <w:r>
              <w:rPr/>
              <w:t xml:space="preserve"> </w:t>
            </w:r>
          </w:p>
        </w:tc>
        <w:tc>
          <w:tcPr>
            <w:tcW w:w="356" w:type="dxa"/>
            <w:tcBorders/>
            <w:vAlign w:val="center"/>
          </w:tcPr>
          <w:p>
            <w:pPr>
              <w:pStyle w:val="TableContents"/>
              <w:bidi w:val="0"/>
              <w:spacing w:before="0" w:after="1"/>
              <w:jc w:val="left"/>
              <w:rPr/>
            </w:pPr>
            <w:r>
              <w:rPr/>
              <w:t xml:space="preserve">  </w:t>
            </w:r>
          </w:p>
        </w:tc>
        <w:tc>
          <w:tcPr>
            <w:tcW w:w="226" w:type="dxa"/>
            <w:tcBorders/>
            <w:vAlign w:val="center"/>
          </w:tcPr>
          <w:p>
            <w:pPr>
              <w:pStyle w:val="TableContents"/>
              <w:bidi w:val="0"/>
              <w:spacing w:before="0" w:after="1"/>
              <w:jc w:val="left"/>
              <w:rPr/>
            </w:pPr>
            <w:r>
              <w:rPr>
                <w:color w:val="000000"/>
              </w:rPr>
              <w:t> </w:t>
            </w:r>
            <w:r>
              <w:rPr/>
              <w:t xml:space="preserve"> </w:t>
            </w:r>
          </w:p>
        </w:tc>
        <w:tc>
          <w:tcPr>
            <w:tcW w:w="1057" w:type="dxa"/>
            <w:tcBorders/>
            <w:vAlign w:val="center"/>
          </w:tcPr>
          <w:p>
            <w:pPr>
              <w:pStyle w:val="TableContents"/>
              <w:bidi w:val="0"/>
              <w:spacing w:before="0" w:after="1"/>
              <w:ind w:left="0" w:right="60" w:hanging="0"/>
              <w:jc w:val="right"/>
              <w:rPr/>
            </w:pPr>
            <w:r>
              <w:rPr>
                <w:rFonts w:ascii="Times New Roman" w:hAnsi="Times New Roman"/>
                <w:color w:val="000000"/>
                <w:sz w:val="18"/>
              </w:rPr>
              <w:t>11,665,181</w:t>
            </w:r>
            <w:r>
              <w:rPr/>
              <w:t xml:space="preserve"> </w:t>
            </w:r>
          </w:p>
        </w:tc>
      </w:tr>
    </w:tbl>
    <w:p>
      <w:pPr>
        <w:pStyle w:val="TextBody"/>
        <w:bidi w:val="0"/>
        <w:spacing w:before="0" w:after="0"/>
        <w:jc w:val="center"/>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rFonts w:ascii="Times New Roman" w:hAnsi="Times New Roman"/>
          <w:b/>
          <w:sz w:val="20"/>
        </w:rPr>
        <w:t>ORANGE COUNTY BANCORP, INC.</w:t>
      </w:r>
      <w:r>
        <w:rPr/>
        <w:t xml:space="preserve"> </w:t>
      </w:r>
    </w:p>
    <w:p>
      <w:pPr>
        <w:pStyle w:val="TextBody"/>
        <w:bidi w:val="0"/>
        <w:spacing w:before="0" w:after="0"/>
        <w:jc w:val="center"/>
        <w:rPr/>
      </w:pPr>
      <w:r>
        <w:rPr>
          <w:rFonts w:ascii="Times New Roman" w:hAnsi="Times New Roman"/>
          <w:b/>
          <w:sz w:val="20"/>
        </w:rPr>
        <w:t>NET INTEREST MARGIN ANALYSIS</w:t>
      </w:r>
      <w:r>
        <w:rPr/>
        <w:t xml:space="preserve"> </w:t>
      </w:r>
    </w:p>
    <w:p>
      <w:pPr>
        <w:pStyle w:val="TextBody"/>
        <w:bidi w:val="0"/>
        <w:spacing w:before="0" w:after="0"/>
        <w:jc w:val="center"/>
        <w:rPr/>
      </w:pPr>
      <w:r>
        <w:rPr>
          <w:rFonts w:ascii="Times New Roman" w:hAnsi="Times New Roman"/>
          <w:b/>
          <w:sz w:val="20"/>
        </w:rPr>
        <w:t>(UNAUDITED)</w:t>
      </w:r>
      <w:r>
        <w:rPr/>
        <w:t xml:space="preserve"> </w:t>
      </w:r>
    </w:p>
    <w:p>
      <w:pPr>
        <w:pStyle w:val="TextBody"/>
        <w:bidi w:val="0"/>
        <w:spacing w:before="0" w:after="120"/>
        <w:jc w:val="center"/>
        <w:rPr/>
      </w:pPr>
      <w:r>
        <w:rPr>
          <w:rFonts w:ascii="Times New Roman" w:hAnsi="Times New Roman"/>
          <w:sz w:val="18"/>
        </w:rPr>
        <w:t>(Dollar Amounts in thousands)</w:t>
      </w:r>
      <w:r>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2075"/>
        <w:gridCol w:w="337"/>
        <w:gridCol w:w="207"/>
        <w:gridCol w:w="897"/>
        <w:gridCol w:w="337"/>
        <w:gridCol w:w="207"/>
        <w:gridCol w:w="672"/>
        <w:gridCol w:w="337"/>
        <w:gridCol w:w="777"/>
        <w:gridCol w:w="357"/>
        <w:gridCol w:w="157"/>
        <w:gridCol w:w="207"/>
        <w:gridCol w:w="897"/>
        <w:gridCol w:w="337"/>
        <w:gridCol w:w="207"/>
        <w:gridCol w:w="672"/>
        <w:gridCol w:w="337"/>
        <w:gridCol w:w="777"/>
        <w:gridCol w:w="411"/>
      </w:tblGrid>
      <w:tr>
        <w:trPr/>
        <w:tc>
          <w:tcPr>
            <w:tcW w:w="2075"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t xml:space="preserve">  </w:t>
            </w:r>
          </w:p>
        </w:tc>
        <w:tc>
          <w:tcPr>
            <w:tcW w:w="897"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t xml:space="preserve">  </w:t>
            </w:r>
          </w:p>
        </w:tc>
        <w:tc>
          <w:tcPr>
            <w:tcW w:w="672"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left"/>
              <w:rPr/>
            </w:pPr>
            <w:r>
              <w:rPr/>
              <w:t xml:space="preserve">  </w:t>
            </w:r>
          </w:p>
        </w:tc>
        <w:tc>
          <w:tcPr>
            <w:tcW w:w="777" w:type="dxa"/>
            <w:tcBorders/>
            <w:vAlign w:val="center"/>
          </w:tcPr>
          <w:p>
            <w:pPr>
              <w:pStyle w:val="TableContents"/>
              <w:bidi w:val="0"/>
              <w:spacing w:before="0" w:after="1"/>
              <w:jc w:val="left"/>
              <w:rPr/>
            </w:pP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t xml:space="preserve">  </w:t>
            </w:r>
          </w:p>
        </w:tc>
        <w:tc>
          <w:tcPr>
            <w:tcW w:w="897"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t xml:space="preserve">  </w:t>
            </w:r>
          </w:p>
        </w:tc>
        <w:tc>
          <w:tcPr>
            <w:tcW w:w="672"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left"/>
              <w:rPr/>
            </w:pPr>
            <w:r>
              <w:rPr/>
              <w:t xml:space="preserve">  </w:t>
            </w:r>
          </w:p>
        </w:tc>
        <w:tc>
          <w:tcPr>
            <w:tcW w:w="777" w:type="dxa"/>
            <w:tcBorders/>
            <w:vAlign w:val="center"/>
          </w:tcPr>
          <w:p>
            <w:pPr>
              <w:pStyle w:val="TableContents"/>
              <w:bidi w:val="0"/>
              <w:spacing w:before="0" w:after="1"/>
              <w:jc w:val="left"/>
              <w:rPr/>
            </w:pP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center"/>
              <w:rPr/>
            </w:pPr>
            <w:r>
              <w:rPr/>
              <w:t xml:space="preserve">  </w:t>
            </w:r>
          </w:p>
        </w:tc>
        <w:tc>
          <w:tcPr>
            <w:tcW w:w="7382" w:type="dxa"/>
            <w:gridSpan w:val="16"/>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For the Three Months Ended June 30, </w:t>
            </w:r>
            <w:r>
              <w:rPr/>
              <w:t xml:space="preserve"> </w:t>
            </w:r>
          </w:p>
        </w:tc>
        <w:tc>
          <w:tcPr>
            <w:tcW w:w="411" w:type="dxa"/>
            <w:tcBorders/>
            <w:vAlign w:val="center"/>
          </w:tcPr>
          <w:p>
            <w:pPr>
              <w:pStyle w:val="TableContents"/>
              <w:bidi w:val="0"/>
              <w:spacing w:before="0" w:after="1"/>
              <w:jc w:val="left"/>
              <w:rPr/>
            </w:pPr>
            <w:r>
              <w:rPr>
                <w:color w:val="000000"/>
              </w:rPr>
              <w:t> </w:t>
            </w:r>
            <w:r>
              <w:rPr/>
              <w:t xml:space="preserve"> </w:t>
            </w:r>
          </w:p>
        </w:tc>
      </w:tr>
      <w:tr>
        <w:trPr/>
        <w:tc>
          <w:tcPr>
            <w:tcW w:w="2075"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center"/>
              <w:rPr/>
            </w:pPr>
            <w:r>
              <w:rPr/>
              <w:t xml:space="preserve">  </w:t>
            </w:r>
          </w:p>
        </w:tc>
        <w:tc>
          <w:tcPr>
            <w:tcW w:w="3434" w:type="dxa"/>
            <w:gridSpan w:val="7"/>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2026</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3434" w:type="dxa"/>
            <w:gridSpan w:val="7"/>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2025</w:t>
            </w:r>
            <w:r>
              <w:rPr/>
              <w:t xml:space="preserve"> </w:t>
            </w:r>
          </w:p>
        </w:tc>
        <w:tc>
          <w:tcPr>
            <w:tcW w:w="411" w:type="dxa"/>
            <w:tcBorders/>
            <w:vAlign w:val="center"/>
          </w:tcPr>
          <w:p>
            <w:pPr>
              <w:pStyle w:val="TableContents"/>
              <w:bidi w:val="0"/>
              <w:spacing w:before="0" w:after="1"/>
              <w:jc w:val="left"/>
              <w:rPr/>
            </w:pPr>
            <w:r>
              <w:rPr>
                <w:color w:val="000000"/>
              </w:rPr>
              <w:t> </w:t>
            </w:r>
            <w:r>
              <w:rPr/>
              <w:t xml:space="preserve"> </w:t>
            </w:r>
          </w:p>
        </w:tc>
      </w:tr>
      <w:tr>
        <w:trPr/>
        <w:tc>
          <w:tcPr>
            <w:tcW w:w="2075"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center"/>
              <w:rPr/>
            </w:pPr>
            <w:r>
              <w:rPr/>
              <w:t xml:space="preserve">  </w:t>
            </w:r>
          </w:p>
        </w:tc>
        <w:tc>
          <w:tcPr>
            <w:tcW w:w="1104" w:type="dxa"/>
            <w:gridSpan w:val="2"/>
            <w:tcBorders/>
            <w:vAlign w:val="center"/>
          </w:tcPr>
          <w:p>
            <w:pPr>
              <w:pStyle w:val="TableContents"/>
              <w:bidi w:val="0"/>
              <w:spacing w:before="0" w:after="1"/>
              <w:jc w:val="center"/>
              <w:rPr/>
            </w:pPr>
            <w:r>
              <w:rPr>
                <w:rFonts w:ascii="Times New Roman" w:hAnsi="Times New Roman"/>
                <w:b/>
                <w:color w:val="000000"/>
                <w:sz w:val="16"/>
              </w:rPr>
              <w:t>Average</w:t>
            </w:r>
            <w:r>
              <w:rPr/>
              <w:t xml:space="preserve"> </w:t>
            </w:r>
          </w:p>
        </w:tc>
        <w:tc>
          <w:tcPr>
            <w:tcW w:w="337" w:type="dxa"/>
            <w:tcBorders/>
            <w:vAlign w:val="center"/>
          </w:tcPr>
          <w:p>
            <w:pPr>
              <w:pStyle w:val="TableContents"/>
              <w:bidi w:val="0"/>
              <w:spacing w:before="0" w:after="1"/>
              <w:jc w:val="center"/>
              <w:rPr/>
            </w:pPr>
            <w:r>
              <w:rPr/>
              <w:t xml:space="preserve">  </w:t>
            </w:r>
          </w:p>
        </w:tc>
        <w:tc>
          <w:tcPr>
            <w:tcW w:w="207" w:type="dxa"/>
            <w:tcBorders/>
            <w:vAlign w:val="center"/>
          </w:tcPr>
          <w:p>
            <w:pPr>
              <w:pStyle w:val="TableContents"/>
              <w:bidi w:val="0"/>
              <w:spacing w:before="0" w:after="1"/>
              <w:jc w:val="center"/>
              <w:rPr/>
            </w:pPr>
            <w:r>
              <w:rPr/>
              <w:t xml:space="preserve">  </w:t>
            </w:r>
          </w:p>
        </w:tc>
        <w:tc>
          <w:tcPr>
            <w:tcW w:w="672" w:type="dxa"/>
            <w:tcBorders/>
            <w:vAlign w:val="center"/>
          </w:tcPr>
          <w:p>
            <w:pPr>
              <w:pStyle w:val="TableContents"/>
              <w:bidi w:val="0"/>
              <w:spacing w:before="0" w:after="1"/>
              <w:jc w:val="center"/>
              <w:rPr/>
            </w:pPr>
            <w:r>
              <w:rPr/>
              <w:t xml:space="preserve">  </w:t>
            </w:r>
          </w:p>
        </w:tc>
        <w:tc>
          <w:tcPr>
            <w:tcW w:w="337" w:type="dxa"/>
            <w:tcBorders/>
            <w:vAlign w:val="center"/>
          </w:tcPr>
          <w:p>
            <w:pPr>
              <w:pStyle w:val="TableContents"/>
              <w:bidi w:val="0"/>
              <w:spacing w:before="0" w:after="1"/>
              <w:jc w:val="center"/>
              <w:rPr/>
            </w:pPr>
            <w:r>
              <w:rPr/>
              <w:t xml:space="preserve">  </w:t>
            </w:r>
          </w:p>
        </w:tc>
        <w:tc>
          <w:tcPr>
            <w:tcW w:w="777" w:type="dxa"/>
            <w:tcBorders/>
            <w:vAlign w:val="center"/>
          </w:tcPr>
          <w:p>
            <w:pPr>
              <w:pStyle w:val="TableContents"/>
              <w:bidi w:val="0"/>
              <w:spacing w:before="0" w:after="1"/>
              <w:jc w:val="center"/>
              <w:rPr/>
            </w:pPr>
            <w:r>
              <w:rPr>
                <w:rFonts w:ascii="Times New Roman" w:hAnsi="Times New Roman"/>
                <w:b/>
                <w:color w:val="000000"/>
                <w:sz w:val="16"/>
              </w:rPr>
              <w:t>Average </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1104" w:type="dxa"/>
            <w:gridSpan w:val="2"/>
            <w:tcBorders/>
            <w:vAlign w:val="center"/>
          </w:tcPr>
          <w:p>
            <w:pPr>
              <w:pStyle w:val="TableContents"/>
              <w:bidi w:val="0"/>
              <w:spacing w:before="0" w:after="1"/>
              <w:jc w:val="center"/>
              <w:rPr/>
            </w:pPr>
            <w:r>
              <w:rPr>
                <w:rFonts w:ascii="Times New Roman" w:hAnsi="Times New Roman"/>
                <w:b/>
                <w:color w:val="000000"/>
                <w:sz w:val="16"/>
              </w:rPr>
              <w:t>Average</w:t>
            </w:r>
            <w:r>
              <w:rPr/>
              <w:t xml:space="preserve"> </w:t>
            </w:r>
          </w:p>
        </w:tc>
        <w:tc>
          <w:tcPr>
            <w:tcW w:w="337" w:type="dxa"/>
            <w:tcBorders/>
            <w:vAlign w:val="center"/>
          </w:tcPr>
          <w:p>
            <w:pPr>
              <w:pStyle w:val="TableContents"/>
              <w:bidi w:val="0"/>
              <w:spacing w:before="0" w:after="1"/>
              <w:jc w:val="center"/>
              <w:rPr/>
            </w:pPr>
            <w:r>
              <w:rPr/>
              <w:t xml:space="preserve">  </w:t>
            </w:r>
          </w:p>
        </w:tc>
        <w:tc>
          <w:tcPr>
            <w:tcW w:w="207" w:type="dxa"/>
            <w:tcBorders/>
            <w:vAlign w:val="center"/>
          </w:tcPr>
          <w:p>
            <w:pPr>
              <w:pStyle w:val="TableContents"/>
              <w:bidi w:val="0"/>
              <w:spacing w:before="0" w:after="1"/>
              <w:jc w:val="center"/>
              <w:rPr/>
            </w:pPr>
            <w:r>
              <w:rPr/>
              <w:t xml:space="preserve">  </w:t>
            </w:r>
          </w:p>
        </w:tc>
        <w:tc>
          <w:tcPr>
            <w:tcW w:w="672" w:type="dxa"/>
            <w:tcBorders/>
            <w:vAlign w:val="center"/>
          </w:tcPr>
          <w:p>
            <w:pPr>
              <w:pStyle w:val="TableContents"/>
              <w:bidi w:val="0"/>
              <w:spacing w:before="0" w:after="1"/>
              <w:jc w:val="center"/>
              <w:rPr/>
            </w:pPr>
            <w:r>
              <w:rPr/>
              <w:t xml:space="preserve">  </w:t>
            </w:r>
          </w:p>
        </w:tc>
        <w:tc>
          <w:tcPr>
            <w:tcW w:w="337" w:type="dxa"/>
            <w:tcBorders/>
            <w:vAlign w:val="center"/>
          </w:tcPr>
          <w:p>
            <w:pPr>
              <w:pStyle w:val="TableContents"/>
              <w:bidi w:val="0"/>
              <w:spacing w:before="0" w:after="1"/>
              <w:jc w:val="center"/>
              <w:rPr/>
            </w:pPr>
            <w:r>
              <w:rPr/>
              <w:t xml:space="preserve">  </w:t>
            </w:r>
          </w:p>
        </w:tc>
        <w:tc>
          <w:tcPr>
            <w:tcW w:w="777" w:type="dxa"/>
            <w:tcBorders/>
            <w:vAlign w:val="center"/>
          </w:tcPr>
          <w:p>
            <w:pPr>
              <w:pStyle w:val="TableContents"/>
              <w:bidi w:val="0"/>
              <w:spacing w:before="0" w:after="1"/>
              <w:jc w:val="center"/>
              <w:rPr/>
            </w:pPr>
            <w:r>
              <w:rPr>
                <w:rFonts w:ascii="Times New Roman" w:hAnsi="Times New Roman"/>
                <w:b/>
                <w:color w:val="000000"/>
                <w:sz w:val="16"/>
              </w:rPr>
              <w:t>Average </w:t>
            </w:r>
            <w:r>
              <w:rPr/>
              <w:t xml:space="preserve"> </w:t>
            </w:r>
          </w:p>
        </w:tc>
        <w:tc>
          <w:tcPr>
            <w:tcW w:w="411" w:type="dxa"/>
            <w:tcBorders/>
            <w:vAlign w:val="center"/>
          </w:tcPr>
          <w:p>
            <w:pPr>
              <w:pStyle w:val="TableContents"/>
              <w:bidi w:val="0"/>
              <w:spacing w:before="0" w:after="1"/>
              <w:jc w:val="left"/>
              <w:rPr/>
            </w:pPr>
            <w:r>
              <w:rPr>
                <w:color w:val="000000"/>
              </w:rPr>
              <w:t> </w:t>
            </w:r>
            <w:r>
              <w:rPr/>
              <w:t xml:space="preserve"> </w:t>
            </w:r>
          </w:p>
        </w:tc>
      </w:tr>
      <w:tr>
        <w:trPr/>
        <w:tc>
          <w:tcPr>
            <w:tcW w:w="2075"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center"/>
              <w:rPr/>
            </w:pPr>
            <w:r>
              <w:rPr/>
              <w:t xml:space="preserve">  </w:t>
            </w:r>
          </w:p>
        </w:tc>
        <w:tc>
          <w:tcPr>
            <w:tcW w:w="1104" w:type="dxa"/>
            <w:gridSpan w:val="2"/>
            <w:tcBorders/>
            <w:vAlign w:val="center"/>
          </w:tcPr>
          <w:p>
            <w:pPr>
              <w:pStyle w:val="TableContents"/>
              <w:bidi w:val="0"/>
              <w:spacing w:before="0" w:after="1"/>
              <w:jc w:val="center"/>
              <w:rPr/>
            </w:pPr>
            <w:r>
              <w:rPr>
                <w:rFonts w:ascii="Times New Roman" w:hAnsi="Times New Roman"/>
                <w:b/>
                <w:color w:val="000000"/>
                <w:sz w:val="16"/>
              </w:rPr>
              <w:t>Outstanding</w:t>
            </w:r>
            <w:r>
              <w:rPr/>
              <w:t xml:space="preserve"> </w:t>
            </w:r>
          </w:p>
        </w:tc>
        <w:tc>
          <w:tcPr>
            <w:tcW w:w="337" w:type="dxa"/>
            <w:tcBorders/>
            <w:vAlign w:val="center"/>
          </w:tcPr>
          <w:p>
            <w:pPr>
              <w:pStyle w:val="TableContents"/>
              <w:bidi w:val="0"/>
              <w:spacing w:before="0" w:after="1"/>
              <w:jc w:val="center"/>
              <w:rPr/>
            </w:pPr>
            <w:r>
              <w:rPr/>
              <w:t xml:space="preserve">  </w:t>
            </w:r>
          </w:p>
        </w:tc>
        <w:tc>
          <w:tcPr>
            <w:tcW w:w="207" w:type="dxa"/>
            <w:tcBorders/>
            <w:vAlign w:val="center"/>
          </w:tcPr>
          <w:p>
            <w:pPr>
              <w:pStyle w:val="TableContents"/>
              <w:bidi w:val="0"/>
              <w:spacing w:before="0" w:after="1"/>
              <w:jc w:val="center"/>
              <w:rPr/>
            </w:pPr>
            <w:r>
              <w:rPr/>
              <w:t xml:space="preserve">  </w:t>
            </w:r>
          </w:p>
        </w:tc>
        <w:tc>
          <w:tcPr>
            <w:tcW w:w="672" w:type="dxa"/>
            <w:tcBorders/>
            <w:vAlign w:val="center"/>
          </w:tcPr>
          <w:p>
            <w:pPr>
              <w:pStyle w:val="TableContents"/>
              <w:bidi w:val="0"/>
              <w:spacing w:before="0" w:after="1"/>
              <w:jc w:val="center"/>
              <w:rPr/>
            </w:pPr>
            <w:r>
              <w:rPr/>
              <w:t xml:space="preserve">  </w:t>
            </w:r>
          </w:p>
        </w:tc>
        <w:tc>
          <w:tcPr>
            <w:tcW w:w="337" w:type="dxa"/>
            <w:tcBorders/>
            <w:vAlign w:val="center"/>
          </w:tcPr>
          <w:p>
            <w:pPr>
              <w:pStyle w:val="TableContents"/>
              <w:bidi w:val="0"/>
              <w:spacing w:before="0" w:after="1"/>
              <w:jc w:val="center"/>
              <w:rPr/>
            </w:pPr>
            <w:r>
              <w:rPr/>
              <w:t xml:space="preserve">  </w:t>
            </w:r>
          </w:p>
        </w:tc>
        <w:tc>
          <w:tcPr>
            <w:tcW w:w="777" w:type="dxa"/>
            <w:tcBorders/>
            <w:vAlign w:val="center"/>
          </w:tcPr>
          <w:p>
            <w:pPr>
              <w:pStyle w:val="TableContents"/>
              <w:bidi w:val="0"/>
              <w:spacing w:before="0" w:after="1"/>
              <w:jc w:val="center"/>
              <w:rPr/>
            </w:pPr>
            <w:r>
              <w:rPr>
                <w:rFonts w:ascii="Times New Roman" w:hAnsi="Times New Roman"/>
                <w:b/>
                <w:color w:val="000000"/>
                <w:sz w:val="16"/>
              </w:rPr>
              <w:t>Yield/</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1104" w:type="dxa"/>
            <w:gridSpan w:val="2"/>
            <w:tcBorders/>
            <w:vAlign w:val="center"/>
          </w:tcPr>
          <w:p>
            <w:pPr>
              <w:pStyle w:val="TableContents"/>
              <w:bidi w:val="0"/>
              <w:spacing w:before="0" w:after="1"/>
              <w:jc w:val="center"/>
              <w:rPr/>
            </w:pPr>
            <w:r>
              <w:rPr>
                <w:rFonts w:ascii="Times New Roman" w:hAnsi="Times New Roman"/>
                <w:b/>
                <w:color w:val="000000"/>
                <w:sz w:val="16"/>
              </w:rPr>
              <w:t>Outstanding</w:t>
            </w:r>
            <w:r>
              <w:rPr/>
              <w:t xml:space="preserve"> </w:t>
            </w:r>
          </w:p>
        </w:tc>
        <w:tc>
          <w:tcPr>
            <w:tcW w:w="337" w:type="dxa"/>
            <w:tcBorders/>
            <w:vAlign w:val="center"/>
          </w:tcPr>
          <w:p>
            <w:pPr>
              <w:pStyle w:val="TableContents"/>
              <w:bidi w:val="0"/>
              <w:spacing w:before="0" w:after="1"/>
              <w:jc w:val="center"/>
              <w:rPr/>
            </w:pPr>
            <w:r>
              <w:rPr/>
              <w:t xml:space="preserve">  </w:t>
            </w:r>
          </w:p>
        </w:tc>
        <w:tc>
          <w:tcPr>
            <w:tcW w:w="207" w:type="dxa"/>
            <w:tcBorders/>
            <w:vAlign w:val="center"/>
          </w:tcPr>
          <w:p>
            <w:pPr>
              <w:pStyle w:val="TableContents"/>
              <w:bidi w:val="0"/>
              <w:spacing w:before="0" w:after="1"/>
              <w:jc w:val="center"/>
              <w:rPr/>
            </w:pPr>
            <w:r>
              <w:rPr/>
              <w:t xml:space="preserve">  </w:t>
            </w:r>
          </w:p>
        </w:tc>
        <w:tc>
          <w:tcPr>
            <w:tcW w:w="672" w:type="dxa"/>
            <w:tcBorders/>
            <w:vAlign w:val="center"/>
          </w:tcPr>
          <w:p>
            <w:pPr>
              <w:pStyle w:val="TableContents"/>
              <w:bidi w:val="0"/>
              <w:spacing w:before="0" w:after="1"/>
              <w:jc w:val="center"/>
              <w:rPr/>
            </w:pPr>
            <w:r>
              <w:rPr/>
              <w:t xml:space="preserve">  </w:t>
            </w:r>
          </w:p>
        </w:tc>
        <w:tc>
          <w:tcPr>
            <w:tcW w:w="337" w:type="dxa"/>
            <w:tcBorders/>
            <w:vAlign w:val="center"/>
          </w:tcPr>
          <w:p>
            <w:pPr>
              <w:pStyle w:val="TableContents"/>
              <w:bidi w:val="0"/>
              <w:spacing w:before="0" w:after="1"/>
              <w:jc w:val="center"/>
              <w:rPr/>
            </w:pPr>
            <w:r>
              <w:rPr/>
              <w:t xml:space="preserve">  </w:t>
            </w:r>
          </w:p>
        </w:tc>
        <w:tc>
          <w:tcPr>
            <w:tcW w:w="777" w:type="dxa"/>
            <w:tcBorders/>
            <w:vAlign w:val="center"/>
          </w:tcPr>
          <w:p>
            <w:pPr>
              <w:pStyle w:val="TableContents"/>
              <w:bidi w:val="0"/>
              <w:spacing w:before="0" w:after="1"/>
              <w:jc w:val="center"/>
              <w:rPr/>
            </w:pPr>
            <w:r>
              <w:rPr>
                <w:rFonts w:ascii="Times New Roman" w:hAnsi="Times New Roman"/>
                <w:b/>
                <w:color w:val="000000"/>
                <w:sz w:val="16"/>
              </w:rPr>
              <w:t>Yield/</w:t>
            </w:r>
            <w:r>
              <w:rPr/>
              <w:t xml:space="preserve"> </w:t>
            </w:r>
          </w:p>
        </w:tc>
        <w:tc>
          <w:tcPr>
            <w:tcW w:w="411" w:type="dxa"/>
            <w:tcBorders/>
            <w:vAlign w:val="center"/>
          </w:tcPr>
          <w:p>
            <w:pPr>
              <w:pStyle w:val="TableContents"/>
              <w:bidi w:val="0"/>
              <w:spacing w:before="0" w:after="1"/>
              <w:jc w:val="left"/>
              <w:rPr/>
            </w:pPr>
            <w:r>
              <w:rPr>
                <w:color w:val="000000"/>
              </w:rPr>
              <w:t> </w:t>
            </w:r>
            <w:r>
              <w:rPr/>
              <w:t xml:space="preserve"> </w:t>
            </w:r>
          </w:p>
        </w:tc>
      </w:tr>
      <w:tr>
        <w:trPr/>
        <w:tc>
          <w:tcPr>
            <w:tcW w:w="2075"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1104"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Balance</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879"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Interest</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Cost</w:t>
            </w:r>
            <w:r>
              <w:rPr/>
              <w:t xml:space="preserve"> </w:t>
            </w:r>
          </w:p>
        </w:tc>
        <w:tc>
          <w:tcPr>
            <w:tcW w:w="357" w:type="dxa"/>
            <w:tcBorders/>
            <w:vAlign w:val="center"/>
          </w:tcPr>
          <w:p>
            <w:pPr>
              <w:pStyle w:val="TableContents"/>
              <w:bidi w:val="0"/>
              <w:spacing w:before="0" w:after="1"/>
              <w:jc w:val="left"/>
              <w:rPr/>
            </w:pPr>
            <w:r>
              <w:rPr>
                <w:color w:val="000000"/>
              </w:rPr>
              <w:t>    </w:t>
            </w:r>
            <w:r>
              <w:rPr/>
              <w:t xml:space="preserve"> </w:t>
            </w:r>
          </w:p>
        </w:tc>
        <w:tc>
          <w:tcPr>
            <w:tcW w:w="157" w:type="dxa"/>
            <w:tcBorders/>
            <w:vAlign w:val="center"/>
          </w:tcPr>
          <w:p>
            <w:pPr>
              <w:pStyle w:val="TableContents"/>
              <w:bidi w:val="0"/>
              <w:spacing w:before="0" w:after="1"/>
              <w:jc w:val="left"/>
              <w:rPr/>
            </w:pPr>
            <w:r>
              <w:rPr/>
              <w:t xml:space="preserve">  </w:t>
            </w:r>
          </w:p>
        </w:tc>
        <w:tc>
          <w:tcPr>
            <w:tcW w:w="1104"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Balance</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879"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Interest</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Cost</w:t>
            </w: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382" w:type="dxa"/>
            <w:gridSpan w:val="16"/>
            <w:tcBorders/>
            <w:vAlign w:val="center"/>
          </w:tcPr>
          <w:p>
            <w:pPr>
              <w:pStyle w:val="TableContents"/>
              <w:bidi w:val="0"/>
              <w:spacing w:before="0" w:after="1"/>
              <w:jc w:val="center"/>
              <w:rPr/>
            </w:pPr>
            <w:r>
              <w:rPr>
                <w:rFonts w:ascii="Times New Roman" w:hAnsi="Times New Roman"/>
                <w:b/>
                <w:color w:val="000000"/>
                <w:sz w:val="16"/>
              </w:rPr>
              <w:t>(Dollars in  thousands)</w:t>
            </w: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b/>
                <w:color w:val="000000"/>
                <w:sz w:val="18"/>
              </w:rPr>
              <w:t>Interest-earning assets:</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207" w:type="dxa"/>
            <w:tcBorders/>
            <w:vAlign w:val="center"/>
          </w:tcPr>
          <w:p>
            <w:pPr>
              <w:pStyle w:val="TableContents"/>
              <w:bidi w:val="0"/>
              <w:spacing w:before="0" w:after="1"/>
              <w:jc w:val="left"/>
              <w:rPr/>
            </w:pPr>
            <w:r>
              <w:rPr/>
              <w:t xml:space="preserve">  </w:t>
            </w:r>
          </w:p>
        </w:tc>
        <w:tc>
          <w:tcPr>
            <w:tcW w:w="897"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207" w:type="dxa"/>
            <w:tcBorders/>
            <w:vAlign w:val="center"/>
          </w:tcPr>
          <w:p>
            <w:pPr>
              <w:pStyle w:val="TableContents"/>
              <w:bidi w:val="0"/>
              <w:spacing w:before="0" w:after="1"/>
              <w:jc w:val="left"/>
              <w:rPr/>
            </w:pP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357" w:type="dxa"/>
            <w:tcBorders/>
            <w:vAlign w:val="center"/>
          </w:tcPr>
          <w:p>
            <w:pPr>
              <w:pStyle w:val="TableContents"/>
              <w:bidi w:val="0"/>
              <w:spacing w:before="0" w:after="1"/>
              <w:jc w:val="left"/>
              <w:rPr/>
            </w:pPr>
            <w:r>
              <w:rPr>
                <w:color w:val="000000"/>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t xml:space="preserve">  </w:t>
            </w:r>
          </w:p>
        </w:tc>
        <w:tc>
          <w:tcPr>
            <w:tcW w:w="897"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207" w:type="dxa"/>
            <w:tcBorders/>
            <w:vAlign w:val="center"/>
          </w:tcPr>
          <w:p>
            <w:pPr>
              <w:pStyle w:val="TableContents"/>
              <w:bidi w:val="0"/>
              <w:spacing w:before="0" w:after="1"/>
              <w:jc w:val="left"/>
              <w:rPr/>
            </w:pP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Loans</w:t>
            </w:r>
            <w:r>
              <w:rPr>
                <w:rFonts w:ascii="Times New Roman" w:hAnsi="Times New Roman"/>
                <w:color w:val="000000"/>
                <w:sz w:val="12"/>
              </w:rPr>
              <w:t xml:space="preserve">(1)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1,969,467</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29,625</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6.03</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1,879,758</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28,103</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6.00</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Investment securities available for sale</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403,523</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2,875</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2.86</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432,657</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3,083</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2.86</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Cash and due from banks and other</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191,027</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1,979</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4.16</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167,987</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1,829</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4.37</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Restricted stock</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6,179</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67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71</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4.62</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5,773</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67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209</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14.52</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ind w:left="120" w:right="0" w:hanging="0"/>
              <w:jc w:val="left"/>
              <w:rPr/>
            </w:pPr>
            <w:r>
              <w:rPr>
                <w:rFonts w:ascii="Times New Roman" w:hAnsi="Times New Roman"/>
                <w:color w:val="000000"/>
                <w:sz w:val="18"/>
              </w:rPr>
              <w:t>Total interest-earning assets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2,570,196</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34,550</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5.39</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2,486,175</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33,224</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5.36</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Noninterest-earning assets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119,178</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104,019</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ind w:left="120" w:right="0" w:hanging="0"/>
              <w:jc w:val="left"/>
              <w:rPr/>
            </w:pPr>
            <w:r>
              <w:rPr>
                <w:rFonts w:ascii="Times New Roman" w:hAnsi="Times New Roman"/>
                <w:color w:val="000000"/>
                <w:sz w:val="18"/>
              </w:rPr>
              <w:t>Total assets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897"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2,689,374</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897"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2,590,194</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b/>
                <w:color w:val="000000"/>
                <w:sz w:val="18"/>
              </w:rPr>
              <w:t>Interest-bearing liabilities: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Interest-bearing demand deposits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442,309</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454</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0.41</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397,476</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489</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0.49</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Money market deposits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402,356</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1,415</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1.41</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702,607</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3,721</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2.12</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Savings deposits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694,687</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3,439</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1.99</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301,586</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1,046</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1.39</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Certificates of deposit</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44,518</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67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256</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2.31</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221,363</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67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2,222</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4.03</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ind w:left="120" w:right="0" w:hanging="0"/>
              <w:jc w:val="left"/>
              <w:rPr/>
            </w:pPr>
            <w:r>
              <w:rPr>
                <w:rFonts w:ascii="Times New Roman" w:hAnsi="Times New Roman"/>
                <w:color w:val="000000"/>
                <w:sz w:val="18"/>
              </w:rPr>
              <w:t>Total interest-bearing deposits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1,583,870</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5,564</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1.41</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1,623,032</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7,478</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1.85</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FHLB Advances and other borrowings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13,606</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134</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3.95</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34,341</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375</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4.38</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Subordinated notes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24,587</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67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430</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7.01</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19,615</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67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231</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4.72</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ind w:left="120" w:right="0" w:hanging="0"/>
              <w:jc w:val="left"/>
              <w:rPr/>
            </w:pPr>
            <w:r>
              <w:rPr>
                <w:rFonts w:ascii="Times New Roman" w:hAnsi="Times New Roman"/>
                <w:color w:val="000000"/>
                <w:sz w:val="18"/>
              </w:rPr>
              <w:t>Total interest-bearing liabilities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1,622,063</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6,128</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1.52</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1,676,988</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8,084</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1.93</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Noninterest-bearing demand deposits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740,345</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670,150</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Other noninterest-bearing liabilities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29,423</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27,436</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ind w:left="120" w:right="0" w:hanging="0"/>
              <w:jc w:val="left"/>
              <w:rPr/>
            </w:pPr>
            <w:r>
              <w:rPr>
                <w:rFonts w:ascii="Times New Roman" w:hAnsi="Times New Roman"/>
                <w:color w:val="000000"/>
                <w:sz w:val="18"/>
              </w:rPr>
              <w:t>Total liabilities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2,391,831</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2,374,574</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Total stockholders’ equity</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297,543</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215,620</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ind w:left="120" w:right="0" w:hanging="0"/>
              <w:jc w:val="left"/>
              <w:rPr/>
            </w:pPr>
            <w:r>
              <w:rPr>
                <w:rFonts w:ascii="Times New Roman" w:hAnsi="Times New Roman"/>
                <w:color w:val="000000"/>
                <w:sz w:val="18"/>
              </w:rPr>
              <w:t>Total liabilities and stockholders’ equity</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897"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2,689,374</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672" w:type="dxa"/>
            <w:tcBorders>
              <w:bottom w:val="single" w:sz="8" w:space="0" w:color="000000"/>
            </w:tcBorders>
            <w:tcMar>
              <w:top w:w="0" w:type="dxa"/>
              <w:left w:w="0" w:type="dxa"/>
              <w:right w:w="0" w:type="dxa"/>
            </w:tcMar>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897"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2,590,194</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672" w:type="dxa"/>
            <w:tcBorders>
              <w:bottom w:val="single" w:sz="8" w:space="0" w:color="000000"/>
            </w:tcBorders>
            <w:tcMar>
              <w:top w:w="0" w:type="dxa"/>
              <w:left w:w="0" w:type="dxa"/>
              <w:right w:w="0" w:type="dxa"/>
            </w:tcMar>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Net interest income</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t xml:space="preserve">  </w:t>
            </w:r>
          </w:p>
        </w:tc>
        <w:tc>
          <w:tcPr>
            <w:tcW w:w="897"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672"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28,422</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672"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25,140</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Net interest rate spread</w:t>
            </w:r>
            <w:r>
              <w:rPr>
                <w:rFonts w:ascii="Times New Roman" w:hAnsi="Times New Roman"/>
                <w:color w:val="000000"/>
                <w:sz w:val="12"/>
              </w:rPr>
              <w:t>(2)</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t xml:space="preserve">  </w:t>
            </w:r>
          </w:p>
        </w:tc>
        <w:tc>
          <w:tcPr>
            <w:tcW w:w="897" w:type="dxa"/>
            <w:tcBorders/>
            <w:vAlign w:val="center"/>
          </w:tcPr>
          <w:p>
            <w:pPr>
              <w:pStyle w:val="TableContents"/>
              <w:bidi w:val="0"/>
              <w:spacing w:before="0" w:after="1"/>
              <w:jc w:val="right"/>
              <w:rPr/>
            </w:pP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t xml:space="preserve">  </w:t>
            </w:r>
          </w:p>
        </w:tc>
        <w:tc>
          <w:tcPr>
            <w:tcW w:w="672" w:type="dxa"/>
            <w:tcBorders/>
            <w:vAlign w:val="center"/>
          </w:tcPr>
          <w:p>
            <w:pPr>
              <w:pStyle w:val="TableContents"/>
              <w:bidi w:val="0"/>
              <w:spacing w:before="0" w:after="1"/>
              <w:jc w:val="right"/>
              <w:rPr/>
            </w:pP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3.87</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3.43</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Net interest margin</w:t>
            </w:r>
            <w:r>
              <w:rPr>
                <w:rFonts w:ascii="Times New Roman" w:hAnsi="Times New Roman"/>
                <w:color w:val="000000"/>
                <w:sz w:val="12"/>
              </w:rPr>
              <w:t>(3)</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t xml:space="preserve">  </w:t>
            </w:r>
          </w:p>
        </w:tc>
        <w:tc>
          <w:tcPr>
            <w:tcW w:w="897" w:type="dxa"/>
            <w:tcBorders/>
            <w:vAlign w:val="center"/>
          </w:tcPr>
          <w:p>
            <w:pPr>
              <w:pStyle w:val="TableContents"/>
              <w:bidi w:val="0"/>
              <w:spacing w:before="0" w:after="1"/>
              <w:jc w:val="right"/>
              <w:rPr/>
            </w:pP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t xml:space="preserve">  </w:t>
            </w:r>
          </w:p>
        </w:tc>
        <w:tc>
          <w:tcPr>
            <w:tcW w:w="672" w:type="dxa"/>
            <w:tcBorders/>
            <w:vAlign w:val="center"/>
          </w:tcPr>
          <w:p>
            <w:pPr>
              <w:pStyle w:val="TableContents"/>
              <w:bidi w:val="0"/>
              <w:spacing w:before="0" w:after="1"/>
              <w:jc w:val="right"/>
              <w:rPr/>
            </w:pP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4.44</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4.06</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Average interest-earning assets to interest-bearing liabilities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158.5</w:t>
            </w:r>
            <w:r>
              <w:rPr/>
              <w:t xml:space="preserve"> </w:t>
            </w:r>
          </w:p>
        </w:tc>
        <w:tc>
          <w:tcPr>
            <w:tcW w:w="337"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207" w:type="dxa"/>
            <w:tcBorders/>
            <w:vAlign w:val="center"/>
          </w:tcPr>
          <w:p>
            <w:pPr>
              <w:pStyle w:val="TableContents"/>
              <w:bidi w:val="0"/>
              <w:spacing w:before="0" w:after="1"/>
              <w:jc w:val="left"/>
              <w:rPr/>
            </w:pPr>
            <w:r>
              <w:rPr/>
              <w:t xml:space="preserve">  </w:t>
            </w:r>
          </w:p>
        </w:tc>
        <w:tc>
          <w:tcPr>
            <w:tcW w:w="672"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right"/>
              <w:rPr/>
            </w:pPr>
            <w:r>
              <w:rPr/>
              <w:t xml:space="preserve">  </w:t>
            </w:r>
          </w:p>
        </w:tc>
        <w:tc>
          <w:tcPr>
            <w:tcW w:w="777" w:type="dxa"/>
            <w:tcBorders/>
            <w:vAlign w:val="center"/>
          </w:tcPr>
          <w:p>
            <w:pPr>
              <w:pStyle w:val="TableContents"/>
              <w:bidi w:val="0"/>
              <w:spacing w:before="0" w:after="1"/>
              <w:jc w:val="left"/>
              <w:rPr/>
            </w:pP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righ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148.3</w:t>
            </w:r>
            <w:r>
              <w:rPr/>
              <w:t xml:space="preserve"> </w:t>
            </w:r>
          </w:p>
        </w:tc>
        <w:tc>
          <w:tcPr>
            <w:tcW w:w="337"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207" w:type="dxa"/>
            <w:tcBorders/>
            <w:vAlign w:val="center"/>
          </w:tcPr>
          <w:p>
            <w:pPr>
              <w:pStyle w:val="TableContents"/>
              <w:bidi w:val="0"/>
              <w:spacing w:before="0" w:after="1"/>
              <w:jc w:val="left"/>
              <w:rPr/>
            </w:pPr>
            <w:r>
              <w:rPr/>
              <w:t xml:space="preserve">  </w:t>
            </w:r>
          </w:p>
        </w:tc>
        <w:tc>
          <w:tcPr>
            <w:tcW w:w="672"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left"/>
              <w:rPr/>
            </w:pPr>
            <w:r>
              <w:rPr/>
              <w:t xml:space="preserve">  </w:t>
            </w:r>
          </w:p>
        </w:tc>
        <w:tc>
          <w:tcPr>
            <w:tcW w:w="777" w:type="dxa"/>
            <w:tcBorders/>
            <w:vAlign w:val="center"/>
          </w:tcPr>
          <w:p>
            <w:pPr>
              <w:pStyle w:val="TableContents"/>
              <w:bidi w:val="0"/>
              <w:spacing w:before="0" w:after="1"/>
              <w:jc w:val="left"/>
              <w:rPr/>
            </w:pPr>
            <w:r>
              <w:rPr/>
              <w:t xml:space="preserve">  </w:t>
            </w:r>
          </w:p>
        </w:tc>
        <w:tc>
          <w:tcPr>
            <w:tcW w:w="411" w:type="dxa"/>
            <w:tcBorders/>
            <w:vAlign w:val="center"/>
          </w:tcPr>
          <w:p>
            <w:pPr>
              <w:pStyle w:val="TableContents"/>
              <w:bidi w:val="0"/>
              <w:spacing w:before="0" w:after="1"/>
              <w:jc w:val="left"/>
              <w:rPr/>
            </w:pPr>
            <w:r>
              <w:rPr/>
              <w:t xml:space="preserve">  </w:t>
            </w:r>
          </w:p>
        </w:tc>
      </w:tr>
    </w:tbl>
    <w:p>
      <w:pPr>
        <w:pStyle w:val="TextBody"/>
        <w:bidi w:val="0"/>
        <w:spacing w:before="0" w:after="0"/>
        <w:jc w:val="left"/>
        <w:rPr/>
      </w:pPr>
      <w:r>
        <w:rPr/>
        <w:t xml:space="preserve">  </w:t>
      </w:r>
    </w:p>
    <w:p>
      <w:pPr>
        <w:pStyle w:val="TextBody"/>
        <w:bidi w:val="0"/>
        <w:spacing w:before="0" w:after="0"/>
        <w:ind w:left="576" w:right="0" w:hanging="0"/>
        <w:jc w:val="left"/>
        <w:rPr/>
      </w:pPr>
      <w:r>
        <w:rPr>
          <w:rFonts w:ascii="Times New Roman" w:hAnsi="Times New Roman"/>
          <w:sz w:val="16"/>
          <w:u w:val="single"/>
        </w:rPr>
        <w:t>Notes:</w:t>
      </w:r>
      <w:r>
        <w:rPr/>
        <w:t xml:space="preserve"> </w:t>
      </w:r>
    </w:p>
    <w:p>
      <w:pPr>
        <w:pStyle w:val="TextBody"/>
        <w:bidi w:val="0"/>
        <w:spacing w:before="0" w:after="0"/>
        <w:ind w:left="576" w:right="0" w:hanging="0"/>
        <w:jc w:val="both"/>
        <w:rPr/>
      </w:pPr>
      <w:r>
        <w:rPr>
          <w:rFonts w:ascii="Times New Roman" w:hAnsi="Times New Roman"/>
          <w:sz w:val="10"/>
        </w:rPr>
        <w:t>(1)</w:t>
      </w:r>
      <w:r>
        <w:rPr/>
        <w:t> </w:t>
      </w:r>
      <w:r>
        <w:rPr>
          <w:rFonts w:ascii="Times New Roman" w:hAnsi="Times New Roman"/>
          <w:sz w:val="16"/>
        </w:rPr>
        <w:t>Includes loans held-for-sale.</w:t>
      </w:r>
      <w:r>
        <w:rPr/>
        <w:t xml:space="preserve"> </w:t>
      </w:r>
    </w:p>
    <w:p>
      <w:pPr>
        <w:pStyle w:val="TextBody"/>
        <w:bidi w:val="0"/>
        <w:spacing w:before="0" w:after="0"/>
        <w:ind w:left="576" w:right="0" w:hanging="0"/>
        <w:jc w:val="both"/>
        <w:rPr/>
      </w:pPr>
      <w:r>
        <w:rPr>
          <w:rFonts w:ascii="Times New Roman" w:hAnsi="Times New Roman"/>
          <w:sz w:val="10"/>
        </w:rPr>
        <w:t>(2)</w:t>
      </w:r>
      <w:r>
        <w:rPr/>
        <w:t> </w:t>
      </w:r>
      <w:r>
        <w:rPr>
          <w:rFonts w:ascii="Times New Roman" w:hAnsi="Times New Roman"/>
          <w:sz w:val="16"/>
        </w:rPr>
        <w:t>The interest rate spread is the difference between the yield on average interest-earning assets and the cost of average interest-bearing liabilities.</w:t>
      </w:r>
      <w:r>
        <w:rPr/>
        <w:t xml:space="preserve"> </w:t>
      </w:r>
    </w:p>
    <w:p>
      <w:pPr>
        <w:pStyle w:val="TextBody"/>
        <w:bidi w:val="0"/>
        <w:spacing w:before="0" w:after="0"/>
        <w:ind w:left="576" w:right="0" w:hanging="0"/>
        <w:jc w:val="both"/>
        <w:rPr/>
      </w:pPr>
      <w:r>
        <w:rPr>
          <w:rFonts w:ascii="Times New Roman" w:hAnsi="Times New Roman"/>
          <w:sz w:val="10"/>
        </w:rPr>
        <w:t>(3)</w:t>
      </w:r>
      <w:r>
        <w:rPr/>
        <w:t> </w:t>
      </w:r>
      <w:r>
        <w:rPr>
          <w:rFonts w:ascii="Times New Roman" w:hAnsi="Times New Roman"/>
          <w:sz w:val="16"/>
        </w:rPr>
        <w:t>Net interest margin is the annualized net interest income divided by average interest-earning assets.</w:t>
      </w:r>
      <w:r>
        <w:rPr/>
        <w:t xml:space="preserve"> </w:t>
      </w:r>
    </w:p>
    <w:p>
      <w:pPr>
        <w:pStyle w:val="TextBody"/>
        <w:bidi w:val="0"/>
        <w:spacing w:before="0" w:after="0"/>
        <w:jc w:val="left"/>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rFonts w:ascii="Times New Roman" w:hAnsi="Times New Roman"/>
          <w:b/>
          <w:sz w:val="20"/>
        </w:rPr>
        <w:t>ORANGE COUNTY BANCORP, INC.</w:t>
      </w:r>
      <w:r>
        <w:rPr/>
        <w:t xml:space="preserve"> </w:t>
      </w:r>
    </w:p>
    <w:p>
      <w:pPr>
        <w:pStyle w:val="TextBody"/>
        <w:bidi w:val="0"/>
        <w:spacing w:before="0" w:after="0"/>
        <w:jc w:val="center"/>
        <w:rPr/>
      </w:pPr>
      <w:r>
        <w:rPr>
          <w:rFonts w:ascii="Times New Roman" w:hAnsi="Times New Roman"/>
          <w:b/>
          <w:sz w:val="20"/>
        </w:rPr>
        <w:t>NET INTEREST MARGIN ANALYSIS</w:t>
      </w:r>
      <w:r>
        <w:rPr/>
        <w:t xml:space="preserve"> </w:t>
      </w:r>
    </w:p>
    <w:p>
      <w:pPr>
        <w:pStyle w:val="TextBody"/>
        <w:bidi w:val="0"/>
        <w:spacing w:before="0" w:after="0"/>
        <w:jc w:val="center"/>
        <w:rPr/>
      </w:pPr>
      <w:r>
        <w:rPr>
          <w:rFonts w:ascii="Times New Roman" w:hAnsi="Times New Roman"/>
          <w:b/>
          <w:sz w:val="20"/>
        </w:rPr>
        <w:t>(UNAUDITED)</w:t>
      </w:r>
      <w:r>
        <w:rPr/>
        <w:t xml:space="preserve"> </w:t>
      </w:r>
    </w:p>
    <w:p>
      <w:pPr>
        <w:pStyle w:val="TextBody"/>
        <w:bidi w:val="0"/>
        <w:spacing w:before="0" w:after="120"/>
        <w:jc w:val="center"/>
        <w:rPr/>
      </w:pPr>
      <w:r>
        <w:rPr>
          <w:rFonts w:ascii="Times New Roman" w:hAnsi="Times New Roman"/>
          <w:sz w:val="18"/>
        </w:rPr>
        <w:t>(Dollar Amounts in thousands)</w:t>
      </w:r>
      <w:r>
        <w:rPr/>
        <w:t xml:space="preserve"> </w:t>
      </w:r>
    </w:p>
    <w:p>
      <w:pPr>
        <w:pStyle w:val="TextBody"/>
        <w:bidi w:val="0"/>
        <w:spacing w:before="0" w:after="0"/>
        <w:jc w:val="left"/>
        <w:rPr/>
      </w:pPr>
      <w:r>
        <w:rPr/>
        <w:t xml:space="preserve">  </w:t>
      </w:r>
    </w:p>
    <w:tbl>
      <w:tblPr>
        <w:tblW w:w="10205" w:type="dxa"/>
        <w:jc w:val="left"/>
        <w:tblInd w:w="0" w:type="dxa"/>
        <w:tblLayout w:type="fixed"/>
        <w:tblCellMar>
          <w:top w:w="28" w:type="dxa"/>
          <w:left w:w="28" w:type="dxa"/>
          <w:bottom w:w="28" w:type="dxa"/>
          <w:right w:w="28" w:type="dxa"/>
        </w:tblCellMar>
      </w:tblPr>
      <w:tblGrid>
        <w:gridCol w:w="2075"/>
        <w:gridCol w:w="337"/>
        <w:gridCol w:w="207"/>
        <w:gridCol w:w="897"/>
        <w:gridCol w:w="337"/>
        <w:gridCol w:w="207"/>
        <w:gridCol w:w="672"/>
        <w:gridCol w:w="337"/>
        <w:gridCol w:w="777"/>
        <w:gridCol w:w="357"/>
        <w:gridCol w:w="157"/>
        <w:gridCol w:w="207"/>
        <w:gridCol w:w="897"/>
        <w:gridCol w:w="337"/>
        <w:gridCol w:w="207"/>
        <w:gridCol w:w="672"/>
        <w:gridCol w:w="337"/>
        <w:gridCol w:w="777"/>
        <w:gridCol w:w="411"/>
      </w:tblGrid>
      <w:tr>
        <w:trPr/>
        <w:tc>
          <w:tcPr>
            <w:tcW w:w="2075"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t xml:space="preserve">  </w:t>
            </w:r>
          </w:p>
        </w:tc>
        <w:tc>
          <w:tcPr>
            <w:tcW w:w="897"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t xml:space="preserve">  </w:t>
            </w:r>
          </w:p>
        </w:tc>
        <w:tc>
          <w:tcPr>
            <w:tcW w:w="672"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left"/>
              <w:rPr/>
            </w:pPr>
            <w:r>
              <w:rPr/>
              <w:t xml:space="preserve">  </w:t>
            </w:r>
          </w:p>
        </w:tc>
        <w:tc>
          <w:tcPr>
            <w:tcW w:w="777" w:type="dxa"/>
            <w:tcBorders/>
            <w:vAlign w:val="center"/>
          </w:tcPr>
          <w:p>
            <w:pPr>
              <w:pStyle w:val="TableContents"/>
              <w:bidi w:val="0"/>
              <w:spacing w:before="0" w:after="1"/>
              <w:jc w:val="left"/>
              <w:rPr/>
            </w:pP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t xml:space="preserve">  </w:t>
            </w:r>
          </w:p>
        </w:tc>
        <w:tc>
          <w:tcPr>
            <w:tcW w:w="897"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t xml:space="preserve">  </w:t>
            </w:r>
          </w:p>
        </w:tc>
        <w:tc>
          <w:tcPr>
            <w:tcW w:w="672"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left"/>
              <w:rPr/>
            </w:pPr>
            <w:r>
              <w:rPr/>
              <w:t xml:space="preserve">  </w:t>
            </w:r>
          </w:p>
        </w:tc>
        <w:tc>
          <w:tcPr>
            <w:tcW w:w="777" w:type="dxa"/>
            <w:tcBorders/>
            <w:vAlign w:val="center"/>
          </w:tcPr>
          <w:p>
            <w:pPr>
              <w:pStyle w:val="TableContents"/>
              <w:bidi w:val="0"/>
              <w:spacing w:before="0" w:after="1"/>
              <w:jc w:val="left"/>
              <w:rPr/>
            </w:pP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center"/>
              <w:rPr/>
            </w:pPr>
            <w:r>
              <w:rPr/>
              <w:t xml:space="preserve">  </w:t>
            </w:r>
          </w:p>
        </w:tc>
        <w:tc>
          <w:tcPr>
            <w:tcW w:w="7382" w:type="dxa"/>
            <w:gridSpan w:val="16"/>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For the Six Months Ended June 30, </w:t>
            </w:r>
            <w:r>
              <w:rPr/>
              <w:t xml:space="preserve"> </w:t>
            </w:r>
          </w:p>
        </w:tc>
        <w:tc>
          <w:tcPr>
            <w:tcW w:w="411" w:type="dxa"/>
            <w:tcBorders/>
            <w:vAlign w:val="center"/>
          </w:tcPr>
          <w:p>
            <w:pPr>
              <w:pStyle w:val="TableContents"/>
              <w:bidi w:val="0"/>
              <w:spacing w:before="0" w:after="1"/>
              <w:jc w:val="center"/>
              <w:rPr/>
            </w:pPr>
            <w:r>
              <w:rPr>
                <w:color w:val="000000"/>
              </w:rPr>
              <w:t> </w:t>
            </w:r>
            <w:r>
              <w:rPr/>
              <w:t xml:space="preserve"> </w:t>
            </w:r>
          </w:p>
        </w:tc>
      </w:tr>
      <w:tr>
        <w:trPr/>
        <w:tc>
          <w:tcPr>
            <w:tcW w:w="2075"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center"/>
              <w:rPr/>
            </w:pPr>
            <w:r>
              <w:rPr/>
              <w:t xml:space="preserve">  </w:t>
            </w:r>
          </w:p>
        </w:tc>
        <w:tc>
          <w:tcPr>
            <w:tcW w:w="3434" w:type="dxa"/>
            <w:gridSpan w:val="7"/>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2026</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3434" w:type="dxa"/>
            <w:gridSpan w:val="7"/>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2025</w:t>
            </w:r>
            <w:r>
              <w:rPr/>
              <w:t xml:space="preserve"> </w:t>
            </w:r>
          </w:p>
        </w:tc>
        <w:tc>
          <w:tcPr>
            <w:tcW w:w="411" w:type="dxa"/>
            <w:tcBorders/>
            <w:vAlign w:val="center"/>
          </w:tcPr>
          <w:p>
            <w:pPr>
              <w:pStyle w:val="TableContents"/>
              <w:bidi w:val="0"/>
              <w:spacing w:before="0" w:after="1"/>
              <w:jc w:val="center"/>
              <w:rPr/>
            </w:pPr>
            <w:r>
              <w:rPr>
                <w:color w:val="000000"/>
              </w:rPr>
              <w:t> </w:t>
            </w:r>
            <w:r>
              <w:rPr/>
              <w:t xml:space="preserve"> </w:t>
            </w:r>
          </w:p>
        </w:tc>
      </w:tr>
      <w:tr>
        <w:trPr/>
        <w:tc>
          <w:tcPr>
            <w:tcW w:w="2075"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center"/>
              <w:rPr/>
            </w:pPr>
            <w:r>
              <w:rPr>
                <w:color w:val="000000"/>
              </w:rPr>
              <w:t>    </w:t>
            </w:r>
            <w:r>
              <w:rPr/>
              <w:t xml:space="preserve"> </w:t>
            </w:r>
          </w:p>
        </w:tc>
        <w:tc>
          <w:tcPr>
            <w:tcW w:w="1104" w:type="dxa"/>
            <w:gridSpan w:val="2"/>
            <w:tcBorders/>
            <w:vAlign w:val="center"/>
          </w:tcPr>
          <w:p>
            <w:pPr>
              <w:pStyle w:val="TableContents"/>
              <w:bidi w:val="0"/>
              <w:spacing w:before="0" w:after="1"/>
              <w:jc w:val="center"/>
              <w:rPr/>
            </w:pPr>
            <w:r>
              <w:rPr>
                <w:rFonts w:ascii="Times New Roman" w:hAnsi="Times New Roman"/>
                <w:b/>
                <w:color w:val="000000"/>
                <w:sz w:val="16"/>
              </w:rPr>
              <w:t>Average </w:t>
            </w:r>
            <w:r>
              <w:rPr/>
              <w:t xml:space="preserve"> </w:t>
            </w:r>
          </w:p>
        </w:tc>
        <w:tc>
          <w:tcPr>
            <w:tcW w:w="337" w:type="dxa"/>
            <w:tcBorders/>
            <w:vAlign w:val="center"/>
          </w:tcPr>
          <w:p>
            <w:pPr>
              <w:pStyle w:val="TableContents"/>
              <w:bidi w:val="0"/>
              <w:spacing w:before="0" w:after="1"/>
              <w:jc w:val="center"/>
              <w:rPr/>
            </w:pPr>
            <w:r>
              <w:rPr>
                <w:color w:val="000000"/>
              </w:rPr>
              <w:t>    </w:t>
            </w:r>
            <w:r>
              <w:rPr/>
              <w:t xml:space="preserve"> </w:t>
            </w:r>
          </w:p>
        </w:tc>
        <w:tc>
          <w:tcPr>
            <w:tcW w:w="207" w:type="dxa"/>
            <w:tcBorders/>
            <w:vAlign w:val="center"/>
          </w:tcPr>
          <w:p>
            <w:pPr>
              <w:pStyle w:val="TableContents"/>
              <w:bidi w:val="0"/>
              <w:spacing w:before="0" w:after="1"/>
              <w:jc w:val="center"/>
              <w:rPr/>
            </w:pPr>
            <w:r>
              <w:rPr/>
              <w:t xml:space="preserve">  </w:t>
            </w:r>
          </w:p>
        </w:tc>
        <w:tc>
          <w:tcPr>
            <w:tcW w:w="672" w:type="dxa"/>
            <w:tcBorders/>
            <w:vAlign w:val="center"/>
          </w:tcPr>
          <w:p>
            <w:pPr>
              <w:pStyle w:val="TableContents"/>
              <w:bidi w:val="0"/>
              <w:spacing w:before="0" w:after="1"/>
              <w:jc w:val="center"/>
              <w:rPr/>
            </w:pPr>
            <w:r>
              <w:rPr/>
              <w:t xml:space="preserve">  </w:t>
            </w:r>
          </w:p>
        </w:tc>
        <w:tc>
          <w:tcPr>
            <w:tcW w:w="337" w:type="dxa"/>
            <w:tcBorders/>
            <w:vAlign w:val="center"/>
          </w:tcPr>
          <w:p>
            <w:pPr>
              <w:pStyle w:val="TableContents"/>
              <w:bidi w:val="0"/>
              <w:spacing w:before="0" w:after="1"/>
              <w:jc w:val="center"/>
              <w:rPr/>
            </w:pPr>
            <w:r>
              <w:rPr>
                <w:color w:val="000000"/>
              </w:rPr>
              <w:t>    </w:t>
            </w:r>
            <w:r>
              <w:rPr/>
              <w:t xml:space="preserve"> </w:t>
            </w:r>
          </w:p>
        </w:tc>
        <w:tc>
          <w:tcPr>
            <w:tcW w:w="777" w:type="dxa"/>
            <w:tcBorders/>
            <w:vAlign w:val="center"/>
          </w:tcPr>
          <w:p>
            <w:pPr>
              <w:pStyle w:val="TableContents"/>
              <w:bidi w:val="0"/>
              <w:spacing w:before="0" w:after="1"/>
              <w:jc w:val="center"/>
              <w:rPr/>
            </w:pPr>
            <w:r>
              <w:rPr>
                <w:rFonts w:ascii="Times New Roman" w:hAnsi="Times New Roman"/>
                <w:b/>
                <w:color w:val="000000"/>
                <w:sz w:val="16"/>
              </w:rPr>
              <w:t>Average </w:t>
            </w:r>
            <w:r>
              <w:rPr/>
              <w:t xml:space="preserve"> </w:t>
            </w:r>
          </w:p>
        </w:tc>
        <w:tc>
          <w:tcPr>
            <w:tcW w:w="357" w:type="dxa"/>
            <w:tcBorders/>
            <w:vAlign w:val="center"/>
          </w:tcPr>
          <w:p>
            <w:pPr>
              <w:pStyle w:val="TableContents"/>
              <w:bidi w:val="0"/>
              <w:spacing w:before="0" w:after="1"/>
              <w:jc w:val="left"/>
              <w:rPr/>
            </w:pPr>
            <w:r>
              <w:rPr>
                <w:color w:val="000000"/>
              </w:rPr>
              <w:t>    </w:t>
            </w:r>
            <w:r>
              <w:rPr/>
              <w:t xml:space="preserve"> </w:t>
            </w:r>
          </w:p>
        </w:tc>
        <w:tc>
          <w:tcPr>
            <w:tcW w:w="157" w:type="dxa"/>
            <w:tcBorders/>
            <w:vAlign w:val="center"/>
          </w:tcPr>
          <w:p>
            <w:pPr>
              <w:pStyle w:val="TableContents"/>
              <w:bidi w:val="0"/>
              <w:spacing w:before="0" w:after="1"/>
              <w:jc w:val="left"/>
              <w:rPr/>
            </w:pPr>
            <w:r>
              <w:rPr/>
              <w:t xml:space="preserve">  </w:t>
            </w:r>
          </w:p>
        </w:tc>
        <w:tc>
          <w:tcPr>
            <w:tcW w:w="1104" w:type="dxa"/>
            <w:gridSpan w:val="2"/>
            <w:tcBorders/>
            <w:vAlign w:val="center"/>
          </w:tcPr>
          <w:p>
            <w:pPr>
              <w:pStyle w:val="TableContents"/>
              <w:bidi w:val="0"/>
              <w:spacing w:before="0" w:after="1"/>
              <w:jc w:val="center"/>
              <w:rPr/>
            </w:pPr>
            <w:r>
              <w:rPr>
                <w:rFonts w:ascii="Times New Roman" w:hAnsi="Times New Roman"/>
                <w:b/>
                <w:color w:val="000000"/>
                <w:sz w:val="16"/>
              </w:rPr>
              <w:t>Average </w:t>
            </w:r>
            <w:r>
              <w:rPr/>
              <w:t xml:space="preserve"> </w:t>
            </w:r>
          </w:p>
        </w:tc>
        <w:tc>
          <w:tcPr>
            <w:tcW w:w="337" w:type="dxa"/>
            <w:tcBorders/>
            <w:vAlign w:val="center"/>
          </w:tcPr>
          <w:p>
            <w:pPr>
              <w:pStyle w:val="TableContents"/>
              <w:bidi w:val="0"/>
              <w:spacing w:before="0" w:after="1"/>
              <w:jc w:val="center"/>
              <w:rPr/>
            </w:pPr>
            <w:r>
              <w:rPr>
                <w:color w:val="000000"/>
              </w:rPr>
              <w:t>    </w:t>
            </w:r>
            <w:r>
              <w:rPr/>
              <w:t xml:space="preserve"> </w:t>
            </w:r>
          </w:p>
        </w:tc>
        <w:tc>
          <w:tcPr>
            <w:tcW w:w="207" w:type="dxa"/>
            <w:tcBorders/>
            <w:vAlign w:val="center"/>
          </w:tcPr>
          <w:p>
            <w:pPr>
              <w:pStyle w:val="TableContents"/>
              <w:bidi w:val="0"/>
              <w:spacing w:before="0" w:after="1"/>
              <w:jc w:val="center"/>
              <w:rPr/>
            </w:pPr>
            <w:r>
              <w:rPr/>
              <w:t xml:space="preserve">  </w:t>
            </w:r>
          </w:p>
        </w:tc>
        <w:tc>
          <w:tcPr>
            <w:tcW w:w="672" w:type="dxa"/>
            <w:tcBorders/>
            <w:vAlign w:val="center"/>
          </w:tcPr>
          <w:p>
            <w:pPr>
              <w:pStyle w:val="TableContents"/>
              <w:bidi w:val="0"/>
              <w:spacing w:before="0" w:after="1"/>
              <w:jc w:val="center"/>
              <w:rPr/>
            </w:pPr>
            <w:r>
              <w:rPr/>
              <w:t xml:space="preserve">  </w:t>
            </w:r>
          </w:p>
        </w:tc>
        <w:tc>
          <w:tcPr>
            <w:tcW w:w="337" w:type="dxa"/>
            <w:tcBorders/>
            <w:vAlign w:val="center"/>
          </w:tcPr>
          <w:p>
            <w:pPr>
              <w:pStyle w:val="TableContents"/>
              <w:bidi w:val="0"/>
              <w:spacing w:before="0" w:after="1"/>
              <w:jc w:val="center"/>
              <w:rPr/>
            </w:pPr>
            <w:r>
              <w:rPr>
                <w:color w:val="000000"/>
              </w:rPr>
              <w:t>    </w:t>
            </w:r>
            <w:r>
              <w:rPr/>
              <w:t xml:space="preserve"> </w:t>
            </w:r>
          </w:p>
        </w:tc>
        <w:tc>
          <w:tcPr>
            <w:tcW w:w="777" w:type="dxa"/>
            <w:tcBorders/>
            <w:vAlign w:val="center"/>
          </w:tcPr>
          <w:p>
            <w:pPr>
              <w:pStyle w:val="TableContents"/>
              <w:bidi w:val="0"/>
              <w:spacing w:before="0" w:after="1"/>
              <w:jc w:val="center"/>
              <w:rPr/>
            </w:pPr>
            <w:r>
              <w:rPr>
                <w:rFonts w:ascii="Times New Roman" w:hAnsi="Times New Roman"/>
                <w:b/>
                <w:color w:val="000000"/>
                <w:sz w:val="16"/>
              </w:rPr>
              <w:t>Average </w:t>
            </w:r>
            <w:r>
              <w:rPr/>
              <w:t xml:space="preserve"> </w:t>
            </w:r>
          </w:p>
        </w:tc>
        <w:tc>
          <w:tcPr>
            <w:tcW w:w="411" w:type="dxa"/>
            <w:tcBorders/>
            <w:vAlign w:val="center"/>
          </w:tcPr>
          <w:p>
            <w:pPr>
              <w:pStyle w:val="TableContents"/>
              <w:bidi w:val="0"/>
              <w:spacing w:before="0" w:after="1"/>
              <w:jc w:val="center"/>
              <w:rPr/>
            </w:pPr>
            <w:r>
              <w:rPr>
                <w:color w:val="000000"/>
              </w:rPr>
              <w:t> </w:t>
            </w:r>
            <w:r>
              <w:rPr/>
              <w:t xml:space="preserve"> </w:t>
            </w:r>
          </w:p>
        </w:tc>
      </w:tr>
      <w:tr>
        <w:trPr/>
        <w:tc>
          <w:tcPr>
            <w:tcW w:w="2075"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center"/>
              <w:rPr/>
            </w:pPr>
            <w:r>
              <w:rPr/>
              <w:t xml:space="preserve">  </w:t>
            </w:r>
          </w:p>
        </w:tc>
        <w:tc>
          <w:tcPr>
            <w:tcW w:w="1104" w:type="dxa"/>
            <w:gridSpan w:val="2"/>
            <w:tcBorders/>
            <w:vAlign w:val="center"/>
          </w:tcPr>
          <w:p>
            <w:pPr>
              <w:pStyle w:val="TableContents"/>
              <w:bidi w:val="0"/>
              <w:spacing w:before="0" w:after="1"/>
              <w:jc w:val="center"/>
              <w:rPr/>
            </w:pPr>
            <w:r>
              <w:rPr>
                <w:rFonts w:ascii="Times New Roman" w:hAnsi="Times New Roman"/>
                <w:b/>
                <w:color w:val="000000"/>
                <w:sz w:val="16"/>
              </w:rPr>
              <w:t>Outstanding</w:t>
            </w:r>
            <w:r>
              <w:rPr/>
              <w:t xml:space="preserve"> </w:t>
            </w:r>
          </w:p>
        </w:tc>
        <w:tc>
          <w:tcPr>
            <w:tcW w:w="337" w:type="dxa"/>
            <w:tcBorders/>
            <w:vAlign w:val="center"/>
          </w:tcPr>
          <w:p>
            <w:pPr>
              <w:pStyle w:val="TableContents"/>
              <w:bidi w:val="0"/>
              <w:spacing w:before="0" w:after="1"/>
              <w:jc w:val="center"/>
              <w:rPr/>
            </w:pPr>
            <w:r>
              <w:rPr/>
              <w:t xml:space="preserve">  </w:t>
            </w:r>
          </w:p>
        </w:tc>
        <w:tc>
          <w:tcPr>
            <w:tcW w:w="207" w:type="dxa"/>
            <w:tcBorders/>
            <w:vAlign w:val="center"/>
          </w:tcPr>
          <w:p>
            <w:pPr>
              <w:pStyle w:val="TableContents"/>
              <w:bidi w:val="0"/>
              <w:spacing w:before="0" w:after="1"/>
              <w:jc w:val="center"/>
              <w:rPr/>
            </w:pPr>
            <w:r>
              <w:rPr/>
              <w:t xml:space="preserve">  </w:t>
            </w:r>
          </w:p>
        </w:tc>
        <w:tc>
          <w:tcPr>
            <w:tcW w:w="672" w:type="dxa"/>
            <w:tcBorders/>
            <w:vAlign w:val="center"/>
          </w:tcPr>
          <w:p>
            <w:pPr>
              <w:pStyle w:val="TableContents"/>
              <w:bidi w:val="0"/>
              <w:spacing w:before="0" w:after="1"/>
              <w:jc w:val="center"/>
              <w:rPr/>
            </w:pPr>
            <w:r>
              <w:rPr/>
              <w:t xml:space="preserve">  </w:t>
            </w:r>
          </w:p>
        </w:tc>
        <w:tc>
          <w:tcPr>
            <w:tcW w:w="337" w:type="dxa"/>
            <w:tcBorders/>
            <w:vAlign w:val="center"/>
          </w:tcPr>
          <w:p>
            <w:pPr>
              <w:pStyle w:val="TableContents"/>
              <w:bidi w:val="0"/>
              <w:spacing w:before="0" w:after="1"/>
              <w:jc w:val="center"/>
              <w:rPr/>
            </w:pPr>
            <w:r>
              <w:rPr/>
              <w:t xml:space="preserve">  </w:t>
            </w:r>
          </w:p>
        </w:tc>
        <w:tc>
          <w:tcPr>
            <w:tcW w:w="777" w:type="dxa"/>
            <w:tcBorders/>
            <w:vAlign w:val="center"/>
          </w:tcPr>
          <w:p>
            <w:pPr>
              <w:pStyle w:val="TableContents"/>
              <w:bidi w:val="0"/>
              <w:spacing w:before="0" w:after="1"/>
              <w:jc w:val="center"/>
              <w:rPr/>
            </w:pPr>
            <w:r>
              <w:rPr>
                <w:rFonts w:ascii="Times New Roman" w:hAnsi="Times New Roman"/>
                <w:b/>
                <w:color w:val="000000"/>
                <w:sz w:val="16"/>
              </w:rPr>
              <w:t>Yield/</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1104" w:type="dxa"/>
            <w:gridSpan w:val="2"/>
            <w:tcBorders/>
            <w:vAlign w:val="center"/>
          </w:tcPr>
          <w:p>
            <w:pPr>
              <w:pStyle w:val="TableContents"/>
              <w:bidi w:val="0"/>
              <w:spacing w:before="0" w:after="1"/>
              <w:jc w:val="center"/>
              <w:rPr/>
            </w:pPr>
            <w:r>
              <w:rPr>
                <w:rFonts w:ascii="Times New Roman" w:hAnsi="Times New Roman"/>
                <w:b/>
                <w:color w:val="000000"/>
                <w:sz w:val="16"/>
              </w:rPr>
              <w:t>Outstanding</w:t>
            </w:r>
            <w:r>
              <w:rPr/>
              <w:t xml:space="preserve"> </w:t>
            </w:r>
          </w:p>
        </w:tc>
        <w:tc>
          <w:tcPr>
            <w:tcW w:w="337" w:type="dxa"/>
            <w:tcBorders/>
            <w:vAlign w:val="center"/>
          </w:tcPr>
          <w:p>
            <w:pPr>
              <w:pStyle w:val="TableContents"/>
              <w:bidi w:val="0"/>
              <w:spacing w:before="0" w:after="1"/>
              <w:jc w:val="center"/>
              <w:rPr/>
            </w:pPr>
            <w:r>
              <w:rPr/>
              <w:t xml:space="preserve">  </w:t>
            </w:r>
          </w:p>
        </w:tc>
        <w:tc>
          <w:tcPr>
            <w:tcW w:w="207" w:type="dxa"/>
            <w:tcBorders/>
            <w:vAlign w:val="center"/>
          </w:tcPr>
          <w:p>
            <w:pPr>
              <w:pStyle w:val="TableContents"/>
              <w:bidi w:val="0"/>
              <w:spacing w:before="0" w:after="1"/>
              <w:jc w:val="center"/>
              <w:rPr/>
            </w:pPr>
            <w:r>
              <w:rPr/>
              <w:t xml:space="preserve">  </w:t>
            </w:r>
          </w:p>
        </w:tc>
        <w:tc>
          <w:tcPr>
            <w:tcW w:w="672" w:type="dxa"/>
            <w:tcBorders/>
            <w:vAlign w:val="center"/>
          </w:tcPr>
          <w:p>
            <w:pPr>
              <w:pStyle w:val="TableContents"/>
              <w:bidi w:val="0"/>
              <w:spacing w:before="0" w:after="1"/>
              <w:jc w:val="center"/>
              <w:rPr/>
            </w:pPr>
            <w:r>
              <w:rPr/>
              <w:t xml:space="preserve">  </w:t>
            </w:r>
          </w:p>
        </w:tc>
        <w:tc>
          <w:tcPr>
            <w:tcW w:w="337" w:type="dxa"/>
            <w:tcBorders/>
            <w:vAlign w:val="center"/>
          </w:tcPr>
          <w:p>
            <w:pPr>
              <w:pStyle w:val="TableContents"/>
              <w:bidi w:val="0"/>
              <w:spacing w:before="0" w:after="1"/>
              <w:jc w:val="center"/>
              <w:rPr/>
            </w:pPr>
            <w:r>
              <w:rPr/>
              <w:t xml:space="preserve">  </w:t>
            </w:r>
          </w:p>
        </w:tc>
        <w:tc>
          <w:tcPr>
            <w:tcW w:w="777" w:type="dxa"/>
            <w:tcBorders/>
            <w:vAlign w:val="center"/>
          </w:tcPr>
          <w:p>
            <w:pPr>
              <w:pStyle w:val="TableContents"/>
              <w:bidi w:val="0"/>
              <w:spacing w:before="0" w:after="1"/>
              <w:jc w:val="center"/>
              <w:rPr/>
            </w:pPr>
            <w:r>
              <w:rPr>
                <w:rFonts w:ascii="Times New Roman" w:hAnsi="Times New Roman"/>
                <w:b/>
                <w:color w:val="000000"/>
                <w:sz w:val="16"/>
              </w:rPr>
              <w:t>Yield/</w:t>
            </w:r>
            <w:r>
              <w:rPr/>
              <w:t xml:space="preserve"> </w:t>
            </w:r>
          </w:p>
        </w:tc>
        <w:tc>
          <w:tcPr>
            <w:tcW w:w="411" w:type="dxa"/>
            <w:tcBorders/>
            <w:vAlign w:val="center"/>
          </w:tcPr>
          <w:p>
            <w:pPr>
              <w:pStyle w:val="TableContents"/>
              <w:bidi w:val="0"/>
              <w:spacing w:before="0" w:after="1"/>
              <w:jc w:val="center"/>
              <w:rPr/>
            </w:pPr>
            <w:r>
              <w:rPr>
                <w:color w:val="000000"/>
              </w:rPr>
              <w:t> </w:t>
            </w:r>
            <w:r>
              <w:rPr/>
              <w:t xml:space="preserve"> </w:t>
            </w:r>
          </w:p>
        </w:tc>
      </w:tr>
      <w:tr>
        <w:trPr/>
        <w:tc>
          <w:tcPr>
            <w:tcW w:w="2075"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center"/>
              <w:rPr/>
            </w:pPr>
            <w:r>
              <w:rPr/>
              <w:t xml:space="preserve">  </w:t>
            </w:r>
          </w:p>
        </w:tc>
        <w:tc>
          <w:tcPr>
            <w:tcW w:w="1104"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color w:val="000000"/>
              </w:rPr>
              <w:t> </w:t>
            </w:r>
            <w:r>
              <w:rPr>
                <w:rFonts w:ascii="Times New Roman" w:hAnsi="Times New Roman"/>
                <w:b/>
                <w:color w:val="000000"/>
                <w:sz w:val="16"/>
              </w:rPr>
              <w:t>Balance</w:t>
            </w:r>
            <w:r>
              <w:rPr/>
              <w:t xml:space="preserve"> </w:t>
            </w:r>
          </w:p>
        </w:tc>
        <w:tc>
          <w:tcPr>
            <w:tcW w:w="337" w:type="dxa"/>
            <w:tcBorders/>
            <w:vAlign w:val="center"/>
          </w:tcPr>
          <w:p>
            <w:pPr>
              <w:pStyle w:val="TableContents"/>
              <w:bidi w:val="0"/>
              <w:spacing w:before="0" w:after="1"/>
              <w:jc w:val="left"/>
              <w:rPr/>
            </w:pPr>
            <w:r>
              <w:rPr/>
              <w:t xml:space="preserve">  </w:t>
            </w:r>
          </w:p>
        </w:tc>
        <w:tc>
          <w:tcPr>
            <w:tcW w:w="879"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Interest</w:t>
            </w:r>
            <w:r>
              <w:rPr/>
              <w:t xml:space="preserve"> </w:t>
            </w:r>
          </w:p>
        </w:tc>
        <w:tc>
          <w:tcPr>
            <w:tcW w:w="337" w:type="dxa"/>
            <w:tcBorders/>
            <w:vAlign w:val="center"/>
          </w:tcPr>
          <w:p>
            <w:pPr>
              <w:pStyle w:val="TableContents"/>
              <w:bidi w:val="0"/>
              <w:spacing w:before="0" w:after="1"/>
              <w:jc w:val="left"/>
              <w:rPr/>
            </w:pPr>
            <w:r>
              <w:rPr/>
              <w:t xml:space="preserve">  </w:t>
            </w:r>
          </w:p>
        </w:tc>
        <w:tc>
          <w:tcPr>
            <w:tcW w:w="777" w:type="dxa"/>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Cost</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1104"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color w:val="000000"/>
              </w:rPr>
              <w:t> </w:t>
            </w:r>
            <w:r>
              <w:rPr>
                <w:rFonts w:ascii="Times New Roman" w:hAnsi="Times New Roman"/>
                <w:b/>
                <w:color w:val="000000"/>
                <w:sz w:val="16"/>
              </w:rPr>
              <w:t>Balance</w:t>
            </w:r>
            <w:r>
              <w:rPr/>
              <w:t xml:space="preserve"> </w:t>
            </w:r>
          </w:p>
        </w:tc>
        <w:tc>
          <w:tcPr>
            <w:tcW w:w="337" w:type="dxa"/>
            <w:tcBorders/>
            <w:vAlign w:val="center"/>
          </w:tcPr>
          <w:p>
            <w:pPr>
              <w:pStyle w:val="TableContents"/>
              <w:bidi w:val="0"/>
              <w:spacing w:before="0" w:after="1"/>
              <w:jc w:val="left"/>
              <w:rPr/>
            </w:pPr>
            <w:r>
              <w:rPr/>
              <w:t xml:space="preserve">  </w:t>
            </w:r>
          </w:p>
        </w:tc>
        <w:tc>
          <w:tcPr>
            <w:tcW w:w="879"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Interest</w:t>
            </w:r>
            <w:r>
              <w:rPr/>
              <w:t xml:space="preserve"> </w:t>
            </w:r>
          </w:p>
        </w:tc>
        <w:tc>
          <w:tcPr>
            <w:tcW w:w="337" w:type="dxa"/>
            <w:tcBorders/>
            <w:vAlign w:val="center"/>
          </w:tcPr>
          <w:p>
            <w:pPr>
              <w:pStyle w:val="TableContents"/>
              <w:bidi w:val="0"/>
              <w:spacing w:before="0" w:after="1"/>
              <w:jc w:val="left"/>
              <w:rPr/>
            </w:pPr>
            <w:r>
              <w:rPr/>
              <w:t xml:space="preserve">  </w:t>
            </w:r>
          </w:p>
        </w:tc>
        <w:tc>
          <w:tcPr>
            <w:tcW w:w="777" w:type="dxa"/>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Cost</w:t>
            </w:r>
            <w:r>
              <w:rPr/>
              <w:t xml:space="preserve"> </w:t>
            </w:r>
          </w:p>
        </w:tc>
        <w:tc>
          <w:tcPr>
            <w:tcW w:w="411" w:type="dxa"/>
            <w:tcBorders/>
            <w:vAlign w:val="center"/>
          </w:tcPr>
          <w:p>
            <w:pPr>
              <w:pStyle w:val="TableContents"/>
              <w:bidi w:val="0"/>
              <w:spacing w:before="0" w:after="1"/>
              <w:jc w:val="center"/>
              <w:rPr/>
            </w:pPr>
            <w:r>
              <w:rPr>
                <w:color w:val="000000"/>
              </w:rPr>
              <w:t> </w:t>
            </w:r>
            <w:r>
              <w:rPr/>
              <w:t xml:space="preserve"> </w:t>
            </w:r>
          </w:p>
        </w:tc>
      </w:tr>
      <w:tr>
        <w:trPr/>
        <w:tc>
          <w:tcPr>
            <w:tcW w:w="2075"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382" w:type="dxa"/>
            <w:gridSpan w:val="16"/>
            <w:tcBorders/>
            <w:vAlign w:val="center"/>
          </w:tcPr>
          <w:p>
            <w:pPr>
              <w:pStyle w:val="TableContents"/>
              <w:bidi w:val="0"/>
              <w:spacing w:before="0" w:after="1"/>
              <w:jc w:val="center"/>
              <w:rPr/>
            </w:pPr>
            <w:r>
              <w:rPr>
                <w:rFonts w:ascii="Times New Roman" w:hAnsi="Times New Roman"/>
                <w:b/>
                <w:color w:val="000000"/>
                <w:sz w:val="16"/>
              </w:rPr>
              <w:t>(Dollars in thousands)</w:t>
            </w: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b/>
                <w:color w:val="000000"/>
                <w:sz w:val="18"/>
              </w:rPr>
              <w:t>Interest-earning assets:</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207" w:type="dxa"/>
            <w:tcBorders/>
            <w:vAlign w:val="center"/>
          </w:tcPr>
          <w:p>
            <w:pPr>
              <w:pStyle w:val="TableContents"/>
              <w:bidi w:val="0"/>
              <w:spacing w:before="0" w:after="1"/>
              <w:jc w:val="left"/>
              <w:rPr/>
            </w:pPr>
            <w:r>
              <w:rPr/>
              <w:t xml:space="preserve">  </w:t>
            </w:r>
          </w:p>
        </w:tc>
        <w:tc>
          <w:tcPr>
            <w:tcW w:w="897"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207" w:type="dxa"/>
            <w:tcBorders/>
            <w:vAlign w:val="center"/>
          </w:tcPr>
          <w:p>
            <w:pPr>
              <w:pStyle w:val="TableContents"/>
              <w:bidi w:val="0"/>
              <w:spacing w:before="0" w:after="1"/>
              <w:jc w:val="left"/>
              <w:rPr/>
            </w:pPr>
            <w:r>
              <w:rPr/>
              <w:t xml:space="preserve">  </w:t>
            </w:r>
          </w:p>
        </w:tc>
        <w:tc>
          <w:tcPr>
            <w:tcW w:w="672"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357" w:type="dxa"/>
            <w:tcBorders/>
            <w:vAlign w:val="center"/>
          </w:tcPr>
          <w:p>
            <w:pPr>
              <w:pStyle w:val="TableContents"/>
              <w:bidi w:val="0"/>
              <w:spacing w:before="0" w:after="1"/>
              <w:jc w:val="left"/>
              <w:rPr/>
            </w:pPr>
            <w:r>
              <w:rPr>
                <w:color w:val="000000"/>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t xml:space="preserve">  </w:t>
            </w:r>
          </w:p>
        </w:tc>
        <w:tc>
          <w:tcPr>
            <w:tcW w:w="897"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207" w:type="dxa"/>
            <w:tcBorders/>
            <w:vAlign w:val="center"/>
          </w:tcPr>
          <w:p>
            <w:pPr>
              <w:pStyle w:val="TableContents"/>
              <w:bidi w:val="0"/>
              <w:spacing w:before="0" w:after="1"/>
              <w:jc w:val="left"/>
              <w:rPr/>
            </w:pP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Loans</w:t>
            </w:r>
            <w:r>
              <w:rPr>
                <w:rFonts w:ascii="Times New Roman" w:hAnsi="Times New Roman"/>
                <w:color w:val="000000"/>
                <w:sz w:val="12"/>
              </w:rPr>
              <w:t xml:space="preserve">(1)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1,962,496</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59,415</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6.11</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1,855,056</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55,417</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6.02</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Investment securities available for sale</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410,313</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5,766</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2.83</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437,191</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6,205</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2.86</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Cash and due from banks and other</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190,767</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3,623</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3.83</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157,381</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3,182</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4.08</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Restricted stock</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6,049</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67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165</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5.50</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6,871</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67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327</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9.60</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ind w:left="120" w:right="0" w:hanging="0"/>
              <w:jc w:val="left"/>
              <w:rPr/>
            </w:pPr>
            <w:r>
              <w:rPr>
                <w:rFonts w:ascii="Times New Roman" w:hAnsi="Times New Roman"/>
                <w:color w:val="000000"/>
                <w:sz w:val="18"/>
              </w:rPr>
              <w:t>Total interest-earning assets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2,569,625</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68,969</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5.41</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2,456,499</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65,131</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5.35</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Noninterest-earning assets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115,208</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102,995</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ind w:left="120" w:right="0" w:hanging="0"/>
              <w:jc w:val="left"/>
              <w:rPr/>
            </w:pPr>
            <w:r>
              <w:rPr>
                <w:rFonts w:ascii="Times New Roman" w:hAnsi="Times New Roman"/>
                <w:color w:val="000000"/>
                <w:sz w:val="18"/>
              </w:rPr>
              <w:t>Total assets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897"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2,684,833</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897"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2,559,494</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b/>
                <w:color w:val="000000"/>
                <w:sz w:val="18"/>
              </w:rPr>
              <w:t>Interest-bearing liabilities: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Interest-bearing demand deposits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458,710</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1,231</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0.54</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377,378</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891</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0.48</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Money market deposits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448,729</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3,424</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1.54</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694,263</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7,356</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2.14</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Savings deposits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615,591</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5,933</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1.94</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285,393</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1,903</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1.34</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Certificates of deposit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66,226</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67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966</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2.94</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222,173</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67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4,446</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4.04</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ind w:left="120" w:right="0" w:hanging="0"/>
              <w:jc w:val="left"/>
              <w:rPr/>
            </w:pPr>
            <w:r>
              <w:rPr>
                <w:rFonts w:ascii="Times New Roman" w:hAnsi="Times New Roman"/>
                <w:color w:val="000000"/>
                <w:sz w:val="18"/>
              </w:rPr>
              <w:t>Total interest-bearing deposits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1,589,256</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11,554</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1.47</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1,579,207</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14,596</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1.86</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FHLB Advances and other borrowings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11,813</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232</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3.96</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59,536</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1,306</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4.42</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Subordinated notes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24,576</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67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860</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7.06</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19,606</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67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461</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4.74</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ind w:left="120" w:right="0" w:hanging="0"/>
              <w:jc w:val="left"/>
              <w:rPr/>
            </w:pPr>
            <w:r>
              <w:rPr>
                <w:rFonts w:ascii="Times New Roman" w:hAnsi="Times New Roman"/>
                <w:color w:val="000000"/>
                <w:sz w:val="18"/>
              </w:rPr>
              <w:t>Total interest-bearing liabilities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1,625,645</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12,646</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1.57</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1,658,349</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ind w:left="0" w:right="60" w:hanging="0"/>
              <w:jc w:val="right"/>
              <w:rPr/>
            </w:pPr>
            <w:r>
              <w:rPr>
                <w:rFonts w:ascii="Times New Roman" w:hAnsi="Times New Roman"/>
                <w:color w:val="000000"/>
                <w:sz w:val="18"/>
              </w:rPr>
              <w:t>16,363</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1.99</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Noninterest-bearing demand deposits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734,158</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668,864</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Other noninterest-bearing liabilities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31,108</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28,665</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ind w:left="120" w:right="0" w:hanging="0"/>
              <w:jc w:val="left"/>
              <w:rPr/>
            </w:pPr>
            <w:r>
              <w:rPr>
                <w:rFonts w:ascii="Times New Roman" w:hAnsi="Times New Roman"/>
                <w:color w:val="000000"/>
                <w:sz w:val="18"/>
              </w:rPr>
              <w:t>Total liabilities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2,390,911</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2,355,878</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Total stockholders’ equity</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293,922</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897"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203,616</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ind w:left="120" w:right="0" w:hanging="0"/>
              <w:jc w:val="left"/>
              <w:rPr/>
            </w:pPr>
            <w:r>
              <w:rPr>
                <w:rFonts w:ascii="Times New Roman" w:hAnsi="Times New Roman"/>
                <w:color w:val="000000"/>
                <w:sz w:val="18"/>
              </w:rPr>
              <w:t>Total liabilities and stockholders’ equity</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897"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2,684,833</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672" w:type="dxa"/>
            <w:tcBorders>
              <w:bottom w:val="single" w:sz="8" w:space="0" w:color="000000"/>
            </w:tcBorders>
            <w:tcMar>
              <w:top w:w="0" w:type="dxa"/>
              <w:left w:w="0" w:type="dxa"/>
              <w:right w:w="0" w:type="dxa"/>
            </w:tcMar>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897"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2,559,494</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single" w:sz="8" w:space="0" w:color="000000"/>
            </w:tcBorders>
            <w:tcMar>
              <w:top w:w="0" w:type="dxa"/>
              <w:left w:w="0" w:type="dxa"/>
              <w:right w:w="0" w:type="dxa"/>
            </w:tcMar>
            <w:vAlign w:val="center"/>
          </w:tcPr>
          <w:p>
            <w:pPr>
              <w:pStyle w:val="TableContents"/>
              <w:bidi w:val="0"/>
              <w:spacing w:before="0" w:after="1"/>
              <w:jc w:val="left"/>
              <w:rPr/>
            </w:pPr>
            <w:r>
              <w:rPr>
                <w:color w:val="000000"/>
              </w:rPr>
              <w:t> </w:t>
            </w:r>
            <w:r>
              <w:rPr/>
              <w:t xml:space="preserve"> </w:t>
            </w:r>
          </w:p>
        </w:tc>
        <w:tc>
          <w:tcPr>
            <w:tcW w:w="672" w:type="dxa"/>
            <w:tcBorders>
              <w:bottom w:val="single" w:sz="8" w:space="0" w:color="000000"/>
            </w:tcBorders>
            <w:tcMar>
              <w:top w:w="0" w:type="dxa"/>
              <w:left w:w="0" w:type="dxa"/>
              <w:right w:w="0" w:type="dxa"/>
            </w:tcMar>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Net interest income</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t xml:space="preserve">  </w:t>
            </w:r>
          </w:p>
        </w:tc>
        <w:tc>
          <w:tcPr>
            <w:tcW w:w="897"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672"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56,323</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672"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48,768</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jc w:val="right"/>
              <w:rPr/>
            </w:pPr>
            <w:r>
              <w:rPr>
                <w:color w:val="000000"/>
              </w:rPr>
              <w:t>  </w:t>
            </w:r>
            <w:r>
              <w:rPr/>
              <w:t xml:space="preserve"> </w:t>
            </w:r>
          </w:p>
        </w:tc>
        <w:tc>
          <w:tcPr>
            <w:tcW w:w="411" w:type="dxa"/>
            <w:tcBorders/>
            <w:vAlign w:val="center"/>
          </w:tcPr>
          <w:p>
            <w:pPr>
              <w:pStyle w:val="TableContents"/>
              <w:bidi w:val="0"/>
              <w:spacing w:before="0" w:after="1"/>
              <w:jc w:val="left"/>
              <w:rPr/>
            </w:pP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Net interest rate spread</w:t>
            </w:r>
            <w:r>
              <w:rPr>
                <w:rFonts w:ascii="Times New Roman" w:hAnsi="Times New Roman"/>
                <w:color w:val="000000"/>
                <w:sz w:val="12"/>
              </w:rPr>
              <w:t>(2)</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t xml:space="preserve">  </w:t>
            </w:r>
          </w:p>
        </w:tc>
        <w:tc>
          <w:tcPr>
            <w:tcW w:w="897" w:type="dxa"/>
            <w:tcBorders/>
            <w:vAlign w:val="center"/>
          </w:tcPr>
          <w:p>
            <w:pPr>
              <w:pStyle w:val="TableContents"/>
              <w:bidi w:val="0"/>
              <w:spacing w:before="0" w:after="1"/>
              <w:jc w:val="right"/>
              <w:rPr/>
            </w:pP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t xml:space="preserve">  </w:t>
            </w:r>
          </w:p>
        </w:tc>
        <w:tc>
          <w:tcPr>
            <w:tcW w:w="672" w:type="dxa"/>
            <w:tcBorders/>
            <w:vAlign w:val="center"/>
          </w:tcPr>
          <w:p>
            <w:pPr>
              <w:pStyle w:val="TableContents"/>
              <w:bidi w:val="0"/>
              <w:spacing w:before="0" w:after="1"/>
              <w:jc w:val="right"/>
              <w:rPr/>
            </w:pP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3.84</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3.36</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Net interest margin</w:t>
            </w:r>
            <w:r>
              <w:rPr>
                <w:rFonts w:ascii="Times New Roman" w:hAnsi="Times New Roman"/>
                <w:color w:val="000000"/>
                <w:sz w:val="12"/>
              </w:rPr>
              <w:t>(3)</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t xml:space="preserve">  </w:t>
            </w:r>
          </w:p>
        </w:tc>
        <w:tc>
          <w:tcPr>
            <w:tcW w:w="897" w:type="dxa"/>
            <w:tcBorders/>
            <w:vAlign w:val="center"/>
          </w:tcPr>
          <w:p>
            <w:pPr>
              <w:pStyle w:val="TableContents"/>
              <w:bidi w:val="0"/>
              <w:spacing w:before="0" w:after="1"/>
              <w:jc w:val="right"/>
              <w:rPr/>
            </w:pP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t xml:space="preserve">  </w:t>
            </w:r>
          </w:p>
        </w:tc>
        <w:tc>
          <w:tcPr>
            <w:tcW w:w="672" w:type="dxa"/>
            <w:tcBorders/>
            <w:vAlign w:val="center"/>
          </w:tcPr>
          <w:p>
            <w:pPr>
              <w:pStyle w:val="TableContents"/>
              <w:bidi w:val="0"/>
              <w:spacing w:before="0" w:after="1"/>
              <w:jc w:val="right"/>
              <w:rPr/>
            </w:pP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4.42</w:t>
            </w:r>
            <w:r>
              <w:rPr/>
              <w:t xml:space="preserve"> </w:t>
            </w:r>
          </w:p>
        </w:tc>
        <w:tc>
          <w:tcPr>
            <w:tcW w:w="357"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c>
          <w:tcPr>
            <w:tcW w:w="15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672" w:type="dxa"/>
            <w:tcBorders/>
            <w:vAlign w:val="center"/>
          </w:tcPr>
          <w:p>
            <w:pPr>
              <w:pStyle w:val="TableContents"/>
              <w:bidi w:val="0"/>
              <w:spacing w:before="0" w:after="1"/>
              <w:jc w:val="right"/>
              <w:rPr/>
            </w:pPr>
            <w:r>
              <w:rPr>
                <w:color w:val="000000"/>
              </w:rPr>
              <w:t>  </w:t>
            </w:r>
            <w:r>
              <w:rPr/>
              <w:t xml:space="preserve"> </w:t>
            </w:r>
          </w:p>
        </w:tc>
        <w:tc>
          <w:tcPr>
            <w:tcW w:w="337" w:type="dxa"/>
            <w:tcBorders/>
            <w:vAlign w:val="center"/>
          </w:tcPr>
          <w:p>
            <w:pPr>
              <w:pStyle w:val="TableContents"/>
              <w:bidi w:val="0"/>
              <w:spacing w:before="0" w:after="1"/>
              <w:jc w:val="left"/>
              <w:rPr/>
            </w:pPr>
            <w:r>
              <w:rPr>
                <w:color w:val="000000"/>
              </w:rPr>
              <w:t> </w:t>
            </w:r>
            <w:r>
              <w:rPr/>
              <w:t xml:space="preserve"> </w:t>
            </w:r>
          </w:p>
        </w:tc>
        <w:tc>
          <w:tcPr>
            <w:tcW w:w="777" w:type="dxa"/>
            <w:tcBorders/>
            <w:vAlign w:val="center"/>
          </w:tcPr>
          <w:p>
            <w:pPr>
              <w:pStyle w:val="TableContents"/>
              <w:bidi w:val="0"/>
              <w:spacing w:before="0" w:after="1"/>
              <w:ind w:left="0" w:right="60" w:hanging="0"/>
              <w:jc w:val="right"/>
              <w:rPr/>
            </w:pPr>
            <w:r>
              <w:rPr>
                <w:rFonts w:ascii="Times New Roman" w:hAnsi="Times New Roman"/>
                <w:color w:val="000000"/>
                <w:sz w:val="18"/>
              </w:rPr>
              <w:t>4.00</w:t>
            </w:r>
            <w:r>
              <w:rPr/>
              <w:t xml:space="preserve"> </w:t>
            </w:r>
          </w:p>
        </w:tc>
        <w:tc>
          <w:tcPr>
            <w:tcW w:w="411" w:type="dxa"/>
            <w:tcBorders/>
            <w:vAlign w:val="center"/>
          </w:tcPr>
          <w:p>
            <w:pPr>
              <w:pStyle w:val="TableContents"/>
              <w:bidi w:val="0"/>
              <w:spacing w:before="0" w:after="1"/>
              <w:jc w:val="left"/>
              <w:rPr/>
            </w:pPr>
            <w:r>
              <w:rPr>
                <w:rFonts w:ascii="Times New Roman" w:hAnsi="Times New Roman"/>
                <w:color w:val="000000"/>
                <w:sz w:val="18"/>
              </w:rPr>
              <w:t>%  </w:t>
            </w:r>
            <w:r>
              <w:rPr/>
              <w:t xml:space="preserve"> </w:t>
            </w:r>
          </w:p>
        </w:tc>
      </w:tr>
      <w:tr>
        <w:trPr/>
        <w:tc>
          <w:tcPr>
            <w:tcW w:w="2075" w:type="dxa"/>
            <w:tcBorders/>
            <w:vAlign w:val="center"/>
          </w:tcPr>
          <w:p>
            <w:pPr>
              <w:pStyle w:val="TableContents"/>
              <w:bidi w:val="0"/>
              <w:spacing w:before="0" w:after="1"/>
              <w:jc w:val="left"/>
              <w:rPr/>
            </w:pPr>
            <w:r>
              <w:rPr>
                <w:rFonts w:ascii="Times New Roman" w:hAnsi="Times New Roman"/>
                <w:color w:val="000000"/>
                <w:sz w:val="18"/>
              </w:rPr>
              <w:t>Average interest-earning assets to interest-bearing liabilities</w:t>
            </w:r>
            <w:r>
              <w:rPr/>
              <w:t xml:space="preserve"> </w:t>
            </w:r>
          </w:p>
        </w:tc>
        <w:tc>
          <w:tcPr>
            <w:tcW w:w="337" w:type="dxa"/>
            <w:tcBorders/>
            <w:vAlign w:val="center"/>
          </w:tcPr>
          <w:p>
            <w:pPr>
              <w:pStyle w:val="TableContents"/>
              <w:bidi w:val="0"/>
              <w:spacing w:before="0" w:after="1"/>
              <w:jc w:val="left"/>
              <w:rPr/>
            </w:pPr>
            <w:r>
              <w:rPr/>
              <w:t xml:space="preserve">  </w:t>
            </w:r>
          </w:p>
        </w:tc>
        <w:tc>
          <w:tcPr>
            <w:tcW w:w="207" w:type="dxa"/>
            <w:tcBorders/>
            <w:vAlign w:val="center"/>
          </w:tcPr>
          <w:p>
            <w:pPr>
              <w:pStyle w:val="TableContents"/>
              <w:bidi w:val="0"/>
              <w:spacing w:before="0" w:after="1"/>
              <w:jc w:val="left"/>
              <w:rPr/>
            </w:pP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158.1</w:t>
            </w:r>
            <w:r>
              <w:rPr/>
              <w:t xml:space="preserve"> </w:t>
            </w:r>
          </w:p>
        </w:tc>
        <w:tc>
          <w:tcPr>
            <w:tcW w:w="337"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207" w:type="dxa"/>
            <w:tcBorders/>
            <w:vAlign w:val="center"/>
          </w:tcPr>
          <w:p>
            <w:pPr>
              <w:pStyle w:val="TableContents"/>
              <w:bidi w:val="0"/>
              <w:spacing w:before="0" w:after="1"/>
              <w:jc w:val="left"/>
              <w:rPr/>
            </w:pPr>
            <w:r>
              <w:rPr/>
              <w:t xml:space="preserve">  </w:t>
            </w:r>
          </w:p>
        </w:tc>
        <w:tc>
          <w:tcPr>
            <w:tcW w:w="672"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right"/>
              <w:rPr/>
            </w:pPr>
            <w:r>
              <w:rPr/>
              <w:t xml:space="preserve">  </w:t>
            </w:r>
          </w:p>
        </w:tc>
        <w:tc>
          <w:tcPr>
            <w:tcW w:w="777" w:type="dxa"/>
            <w:tcBorders/>
            <w:vAlign w:val="center"/>
          </w:tcPr>
          <w:p>
            <w:pPr>
              <w:pStyle w:val="TableContents"/>
              <w:bidi w:val="0"/>
              <w:spacing w:before="0" w:after="1"/>
              <w:jc w:val="left"/>
              <w:rPr/>
            </w:pPr>
            <w:r>
              <w:rPr/>
              <w:t xml:space="preserve">  </w:t>
            </w:r>
          </w:p>
        </w:tc>
        <w:tc>
          <w:tcPr>
            <w:tcW w:w="357" w:type="dxa"/>
            <w:tcBorders/>
            <w:vAlign w:val="center"/>
          </w:tcPr>
          <w:p>
            <w:pPr>
              <w:pStyle w:val="TableContents"/>
              <w:bidi w:val="0"/>
              <w:spacing w:before="0" w:after="1"/>
              <w:jc w:val="left"/>
              <w:rPr/>
            </w:pPr>
            <w:r>
              <w:rPr/>
              <w:t xml:space="preserve">  </w:t>
            </w:r>
          </w:p>
        </w:tc>
        <w:tc>
          <w:tcPr>
            <w:tcW w:w="157" w:type="dxa"/>
            <w:tcBorders/>
            <w:vAlign w:val="center"/>
          </w:tcPr>
          <w:p>
            <w:pPr>
              <w:pStyle w:val="TableContents"/>
              <w:bidi w:val="0"/>
              <w:spacing w:before="0" w:after="1"/>
              <w:jc w:val="right"/>
              <w:rPr/>
            </w:pPr>
            <w:r>
              <w:rPr/>
              <w:t xml:space="preserve">  </w:t>
            </w:r>
          </w:p>
        </w:tc>
        <w:tc>
          <w:tcPr>
            <w:tcW w:w="207" w:type="dxa"/>
            <w:tcBorders/>
            <w:vAlign w:val="center"/>
          </w:tcPr>
          <w:p>
            <w:pPr>
              <w:pStyle w:val="TableContents"/>
              <w:bidi w:val="0"/>
              <w:spacing w:before="0" w:after="1"/>
              <w:jc w:val="left"/>
              <w:rPr/>
            </w:pPr>
            <w:r>
              <w:rPr>
                <w:color w:val="000000"/>
              </w:rPr>
              <w:t> </w:t>
            </w:r>
            <w:r>
              <w:rPr/>
              <w:t xml:space="preserve"> </w:t>
            </w:r>
          </w:p>
        </w:tc>
        <w:tc>
          <w:tcPr>
            <w:tcW w:w="897" w:type="dxa"/>
            <w:tcBorders/>
            <w:vAlign w:val="center"/>
          </w:tcPr>
          <w:p>
            <w:pPr>
              <w:pStyle w:val="TableContents"/>
              <w:bidi w:val="0"/>
              <w:spacing w:before="0" w:after="1"/>
              <w:ind w:left="0" w:right="60" w:hanging="0"/>
              <w:jc w:val="right"/>
              <w:rPr/>
            </w:pPr>
            <w:r>
              <w:rPr>
                <w:rFonts w:ascii="Times New Roman" w:hAnsi="Times New Roman"/>
                <w:color w:val="000000"/>
                <w:sz w:val="18"/>
              </w:rPr>
              <w:t>148.1</w:t>
            </w:r>
            <w:r>
              <w:rPr/>
              <w:t xml:space="preserve"> </w:t>
            </w:r>
          </w:p>
        </w:tc>
        <w:tc>
          <w:tcPr>
            <w:tcW w:w="337"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207" w:type="dxa"/>
            <w:tcBorders/>
            <w:vAlign w:val="center"/>
          </w:tcPr>
          <w:p>
            <w:pPr>
              <w:pStyle w:val="TableContents"/>
              <w:bidi w:val="0"/>
              <w:spacing w:before="0" w:after="1"/>
              <w:jc w:val="left"/>
              <w:rPr/>
            </w:pPr>
            <w:r>
              <w:rPr/>
              <w:t xml:space="preserve">  </w:t>
            </w:r>
          </w:p>
        </w:tc>
        <w:tc>
          <w:tcPr>
            <w:tcW w:w="672" w:type="dxa"/>
            <w:tcBorders/>
            <w:vAlign w:val="center"/>
          </w:tcPr>
          <w:p>
            <w:pPr>
              <w:pStyle w:val="TableContents"/>
              <w:bidi w:val="0"/>
              <w:spacing w:before="0" w:after="1"/>
              <w:jc w:val="left"/>
              <w:rPr/>
            </w:pPr>
            <w:r>
              <w:rPr/>
              <w:t xml:space="preserve">  </w:t>
            </w:r>
          </w:p>
        </w:tc>
        <w:tc>
          <w:tcPr>
            <w:tcW w:w="337" w:type="dxa"/>
            <w:tcBorders/>
            <w:vAlign w:val="center"/>
          </w:tcPr>
          <w:p>
            <w:pPr>
              <w:pStyle w:val="TableContents"/>
              <w:bidi w:val="0"/>
              <w:spacing w:before="0" w:after="1"/>
              <w:jc w:val="left"/>
              <w:rPr/>
            </w:pPr>
            <w:r>
              <w:rPr/>
              <w:t xml:space="preserve">  </w:t>
            </w:r>
          </w:p>
        </w:tc>
        <w:tc>
          <w:tcPr>
            <w:tcW w:w="777" w:type="dxa"/>
            <w:tcBorders/>
            <w:vAlign w:val="center"/>
          </w:tcPr>
          <w:p>
            <w:pPr>
              <w:pStyle w:val="TableContents"/>
              <w:bidi w:val="0"/>
              <w:spacing w:before="0" w:after="1"/>
              <w:jc w:val="left"/>
              <w:rPr/>
            </w:pPr>
            <w:r>
              <w:rPr/>
              <w:t xml:space="preserve">  </w:t>
            </w:r>
          </w:p>
        </w:tc>
        <w:tc>
          <w:tcPr>
            <w:tcW w:w="411" w:type="dxa"/>
            <w:tcBorders/>
            <w:vAlign w:val="center"/>
          </w:tcPr>
          <w:p>
            <w:pPr>
              <w:pStyle w:val="TableContents"/>
              <w:bidi w:val="0"/>
              <w:spacing w:before="0" w:after="1"/>
              <w:jc w:val="left"/>
              <w:rPr/>
            </w:pPr>
            <w:r>
              <w:rPr/>
              <w:t xml:space="preserve">  </w:t>
            </w:r>
          </w:p>
        </w:tc>
      </w:tr>
    </w:tbl>
    <w:p>
      <w:pPr>
        <w:pStyle w:val="TextBody"/>
        <w:bidi w:val="0"/>
        <w:spacing w:before="0" w:after="0"/>
        <w:jc w:val="left"/>
        <w:rPr/>
      </w:pPr>
      <w:r>
        <w:rPr/>
        <w:t xml:space="preserve">  </w:t>
      </w:r>
    </w:p>
    <w:p>
      <w:pPr>
        <w:pStyle w:val="TextBody"/>
        <w:bidi w:val="0"/>
        <w:spacing w:before="0" w:after="0"/>
        <w:ind w:left="576" w:right="0" w:hanging="0"/>
        <w:jc w:val="left"/>
        <w:rPr/>
      </w:pPr>
      <w:r>
        <w:rPr>
          <w:rFonts w:ascii="Times New Roman" w:hAnsi="Times New Roman"/>
          <w:sz w:val="16"/>
          <w:u w:val="single"/>
        </w:rPr>
        <w:t>Notes:</w:t>
      </w:r>
      <w:r>
        <w:rPr/>
        <w:t xml:space="preserve"> </w:t>
      </w:r>
    </w:p>
    <w:p>
      <w:pPr>
        <w:pStyle w:val="TextBody"/>
        <w:bidi w:val="0"/>
        <w:spacing w:before="0" w:after="0"/>
        <w:ind w:left="576" w:right="0" w:hanging="0"/>
        <w:jc w:val="both"/>
        <w:rPr/>
      </w:pPr>
      <w:r>
        <w:rPr>
          <w:rFonts w:ascii="Times New Roman" w:hAnsi="Times New Roman"/>
          <w:sz w:val="10"/>
        </w:rPr>
        <w:t>(1)</w:t>
      </w:r>
      <w:r>
        <w:rPr/>
        <w:t> </w:t>
      </w:r>
      <w:r>
        <w:rPr>
          <w:rFonts w:ascii="Times New Roman" w:hAnsi="Times New Roman"/>
          <w:sz w:val="16"/>
        </w:rPr>
        <w:t>Includes loans held-for-sale.</w:t>
      </w:r>
      <w:r>
        <w:rPr/>
        <w:t xml:space="preserve"> </w:t>
      </w:r>
    </w:p>
    <w:p>
      <w:pPr>
        <w:pStyle w:val="TextBody"/>
        <w:bidi w:val="0"/>
        <w:spacing w:before="0" w:after="0"/>
        <w:ind w:left="576" w:right="0" w:hanging="0"/>
        <w:jc w:val="both"/>
        <w:rPr/>
      </w:pPr>
      <w:r>
        <w:rPr>
          <w:rFonts w:ascii="Times New Roman" w:hAnsi="Times New Roman"/>
          <w:sz w:val="10"/>
        </w:rPr>
        <w:t>(2)</w:t>
      </w:r>
      <w:r>
        <w:rPr/>
        <w:t> </w:t>
      </w:r>
      <w:r>
        <w:rPr>
          <w:rFonts w:ascii="Times New Roman" w:hAnsi="Times New Roman"/>
          <w:sz w:val="16"/>
        </w:rPr>
        <w:t>The interest rate spread is the difference between the yield on average interest-earning assets and the cost of average interest-bearing liabilities.</w:t>
      </w:r>
      <w:r>
        <w:rPr/>
        <w:t xml:space="preserve"> </w:t>
      </w:r>
    </w:p>
    <w:p>
      <w:pPr>
        <w:pStyle w:val="TextBody"/>
        <w:bidi w:val="0"/>
        <w:spacing w:before="0" w:after="0"/>
        <w:ind w:left="576" w:right="0" w:hanging="0"/>
        <w:jc w:val="both"/>
        <w:rPr/>
      </w:pPr>
      <w:r>
        <w:rPr>
          <w:rFonts w:ascii="Times New Roman" w:hAnsi="Times New Roman"/>
          <w:sz w:val="10"/>
        </w:rPr>
        <w:t>(3)</w:t>
      </w:r>
      <w:r>
        <w:rPr/>
        <w:t> </w:t>
      </w:r>
      <w:r>
        <w:rPr>
          <w:rFonts w:ascii="Times New Roman" w:hAnsi="Times New Roman"/>
          <w:sz w:val="16"/>
        </w:rPr>
        <w:t>Net interest margin is the annualized net interest income divided by average interest-earning assets.</w:t>
      </w:r>
      <w:r>
        <w:rPr/>
        <w:t xml:space="preserve"> </w:t>
      </w:r>
    </w:p>
    <w:p>
      <w:pPr>
        <w:pStyle w:val="TextBody"/>
        <w:bidi w:val="0"/>
        <w:spacing w:before="0" w:after="0"/>
        <w:ind w:left="576" w:right="0" w:hanging="0"/>
        <w:jc w:val="both"/>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rFonts w:ascii="Times New Roman" w:hAnsi="Times New Roman"/>
          <w:b/>
          <w:sz w:val="20"/>
        </w:rPr>
        <w:t>ORANGE COUNTY BANCORP, INC.</w:t>
      </w:r>
      <w:r>
        <w:rPr/>
        <w:t xml:space="preserve"> </w:t>
      </w:r>
    </w:p>
    <w:p>
      <w:pPr>
        <w:pStyle w:val="TextBody"/>
        <w:bidi w:val="0"/>
        <w:spacing w:before="0" w:after="0"/>
        <w:jc w:val="center"/>
        <w:rPr/>
      </w:pPr>
      <w:r>
        <w:rPr>
          <w:rFonts w:ascii="Times New Roman" w:hAnsi="Times New Roman"/>
          <w:b/>
          <w:sz w:val="20"/>
        </w:rPr>
        <w:t>SELECTED RATIOS AND OTHER DATA</w:t>
      </w:r>
      <w:r>
        <w:rPr/>
        <w:t xml:space="preserve"> </w:t>
      </w:r>
    </w:p>
    <w:p>
      <w:pPr>
        <w:pStyle w:val="TextBody"/>
        <w:bidi w:val="0"/>
        <w:spacing w:before="0" w:after="0"/>
        <w:jc w:val="center"/>
        <w:rPr/>
      </w:pPr>
      <w:r>
        <w:rPr>
          <w:rFonts w:ascii="Times New Roman" w:hAnsi="Times New Roman"/>
          <w:b/>
          <w:sz w:val="20"/>
        </w:rPr>
        <w:t>(UNAUDITED)</w:t>
      </w:r>
      <w:r>
        <w:rPr/>
        <w:t xml:space="preserve"> </w:t>
      </w:r>
    </w:p>
    <w:p>
      <w:pPr>
        <w:pStyle w:val="TextBody"/>
        <w:bidi w:val="0"/>
        <w:spacing w:before="0" w:after="0"/>
        <w:jc w:val="left"/>
        <w:rPr/>
      </w:pPr>
      <w:r>
        <w:rPr/>
        <w:t xml:space="preserve">  </w:t>
      </w:r>
    </w:p>
    <w:tbl>
      <w:tblPr>
        <w:tblW w:w="9870" w:type="dxa"/>
        <w:jc w:val="left"/>
        <w:tblInd w:w="0" w:type="dxa"/>
        <w:tblLayout w:type="fixed"/>
        <w:tblCellMar>
          <w:top w:w="28" w:type="dxa"/>
          <w:left w:w="28" w:type="dxa"/>
          <w:bottom w:w="28" w:type="dxa"/>
          <w:right w:w="28" w:type="dxa"/>
        </w:tblCellMar>
      </w:tblPr>
      <w:tblGrid>
        <w:gridCol w:w="4951"/>
        <w:gridCol w:w="386"/>
        <w:gridCol w:w="871"/>
        <w:gridCol w:w="206"/>
        <w:gridCol w:w="871"/>
        <w:gridCol w:w="206"/>
        <w:gridCol w:w="871"/>
        <w:gridCol w:w="206"/>
        <w:gridCol w:w="871"/>
        <w:gridCol w:w="431"/>
      </w:tblGrid>
      <w:tr>
        <w:trPr/>
        <w:tc>
          <w:tcPr>
            <w:tcW w:w="4951" w:type="dxa"/>
            <w:tcBorders/>
            <w:vAlign w:val="center"/>
          </w:tcPr>
          <w:p>
            <w:pPr>
              <w:pStyle w:val="TableContents"/>
              <w:bidi w:val="0"/>
              <w:spacing w:before="0" w:after="1"/>
              <w:jc w:val="left"/>
              <w:rPr/>
            </w:pPr>
            <w:r>
              <w:rPr/>
              <w:t xml:space="preserve">  </w:t>
            </w:r>
          </w:p>
        </w:tc>
        <w:tc>
          <w:tcPr>
            <w:tcW w:w="38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pPr>
            <w:r>
              <w:rPr/>
              <w:t xml:space="preserve">  </w:t>
            </w:r>
          </w:p>
        </w:tc>
        <w:tc>
          <w:tcPr>
            <w:tcW w:w="386" w:type="dxa"/>
            <w:tcBorders/>
            <w:vAlign w:val="center"/>
          </w:tcPr>
          <w:p>
            <w:pPr>
              <w:pStyle w:val="TableContents"/>
              <w:bidi w:val="0"/>
              <w:spacing w:before="0" w:after="1"/>
              <w:jc w:val="center"/>
              <w:rPr/>
            </w:pPr>
            <w:r>
              <w:rPr/>
              <w:t xml:space="preserve">  </w:t>
            </w:r>
          </w:p>
        </w:tc>
        <w:tc>
          <w:tcPr>
            <w:tcW w:w="1948" w:type="dxa"/>
            <w:gridSpan w:val="3"/>
            <w:tcBorders>
              <w:bottom w:val="single" w:sz="8" w:space="0" w:color="000000"/>
            </w:tcBorders>
            <w:tcMar>
              <w:top w:w="0" w:type="dxa"/>
              <w:left w:w="0" w:type="dxa"/>
              <w:right w:w="0" w:type="dxa"/>
            </w:tcMar>
            <w:vAlign w:val="center"/>
          </w:tcPr>
          <w:p>
            <w:pPr>
              <w:pStyle w:val="TableContents"/>
              <w:bidi w:val="0"/>
              <w:spacing w:before="0" w:after="1"/>
              <w:jc w:val="center"/>
              <w:rPr>
                <w:rFonts w:ascii="Times New Roman" w:hAnsi="Times New Roman"/>
                <w:b/>
                <w:color w:val="231F20"/>
                <w:sz w:val="16"/>
              </w:rPr>
            </w:pPr>
            <w:r>
              <w:rPr>
                <w:rFonts w:ascii="Times New Roman" w:hAnsi="Times New Roman"/>
                <w:b/>
                <w:color w:val="231F20"/>
                <w:sz w:val="16"/>
              </w:rPr>
              <w:t xml:space="preserve">Three Months Ended </w:t>
            </w:r>
          </w:p>
        </w:tc>
        <w:tc>
          <w:tcPr>
            <w:tcW w:w="206" w:type="dxa"/>
            <w:tcBorders/>
            <w:vAlign w:val="center"/>
          </w:tcPr>
          <w:p>
            <w:pPr>
              <w:pStyle w:val="TableContents"/>
              <w:bidi w:val="0"/>
              <w:spacing w:before="0" w:after="1"/>
              <w:jc w:val="left"/>
              <w:rPr/>
            </w:pPr>
            <w:r>
              <w:rPr/>
              <w:t xml:space="preserve">  </w:t>
            </w:r>
          </w:p>
        </w:tc>
        <w:tc>
          <w:tcPr>
            <w:tcW w:w="1948" w:type="dxa"/>
            <w:gridSpan w:val="3"/>
            <w:tcBorders>
              <w:bottom w:val="single" w:sz="8" w:space="0" w:color="000000"/>
            </w:tcBorders>
            <w:tcMar>
              <w:top w:w="0" w:type="dxa"/>
              <w:left w:w="0" w:type="dxa"/>
              <w:right w:w="0" w:type="dxa"/>
            </w:tcMar>
            <w:vAlign w:val="center"/>
          </w:tcPr>
          <w:p>
            <w:pPr>
              <w:pStyle w:val="TableContents"/>
              <w:bidi w:val="0"/>
              <w:spacing w:before="0" w:after="1"/>
              <w:jc w:val="center"/>
              <w:rPr>
                <w:rFonts w:ascii="Times New Roman" w:hAnsi="Times New Roman"/>
                <w:b/>
                <w:color w:val="231F20"/>
                <w:sz w:val="16"/>
              </w:rPr>
            </w:pPr>
            <w:r>
              <w:rPr>
                <w:rFonts w:ascii="Times New Roman" w:hAnsi="Times New Roman"/>
                <w:b/>
                <w:color w:val="231F20"/>
                <w:sz w:val="16"/>
              </w:rPr>
              <w:t xml:space="preserve">Six Months Ended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pPr>
            <w:r>
              <w:rPr/>
              <w:t xml:space="preserve">  </w:t>
            </w:r>
          </w:p>
        </w:tc>
        <w:tc>
          <w:tcPr>
            <w:tcW w:w="386" w:type="dxa"/>
            <w:tcBorders/>
            <w:vAlign w:val="center"/>
          </w:tcPr>
          <w:p>
            <w:pPr>
              <w:pStyle w:val="TableContents"/>
              <w:bidi w:val="0"/>
              <w:spacing w:before="0" w:after="1"/>
              <w:jc w:val="center"/>
              <w:rPr/>
            </w:pPr>
            <w:r>
              <w:rPr>
                <w:color w:val="000000"/>
              </w:rPr>
              <w:t>    </w:t>
            </w:r>
            <w:r>
              <w:rPr/>
              <w:t xml:space="preserve"> </w:t>
            </w:r>
          </w:p>
        </w:tc>
        <w:tc>
          <w:tcPr>
            <w:tcW w:w="1948" w:type="dxa"/>
            <w:gridSpan w:val="3"/>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June 30,</w:t>
            </w:r>
            <w:r>
              <w:rPr/>
              <w:t xml:space="preserve"> </w:t>
            </w:r>
          </w:p>
        </w:tc>
        <w:tc>
          <w:tcPr>
            <w:tcW w:w="206" w:type="dxa"/>
            <w:tcBorders/>
            <w:vAlign w:val="center"/>
          </w:tcPr>
          <w:p>
            <w:pPr>
              <w:pStyle w:val="TableContents"/>
              <w:bidi w:val="0"/>
              <w:spacing w:before="0" w:after="1"/>
              <w:jc w:val="left"/>
              <w:rPr/>
            </w:pPr>
            <w:r>
              <w:rPr/>
              <w:t xml:space="preserve">  </w:t>
            </w:r>
          </w:p>
        </w:tc>
        <w:tc>
          <w:tcPr>
            <w:tcW w:w="1948" w:type="dxa"/>
            <w:gridSpan w:val="3"/>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June 30,</w:t>
            </w:r>
            <w:r>
              <w:rPr/>
              <w:t xml:space="preserve"> </w:t>
            </w:r>
          </w:p>
        </w:tc>
        <w:tc>
          <w:tcPr>
            <w:tcW w:w="431" w:type="dxa"/>
            <w:tcBorders/>
            <w:vAlign w:val="center"/>
          </w:tcPr>
          <w:p>
            <w:pPr>
              <w:pStyle w:val="TableContents"/>
              <w:bidi w:val="0"/>
              <w:spacing w:before="0" w:after="1"/>
              <w:jc w:val="left"/>
              <w:rPr/>
            </w:pPr>
            <w:r>
              <w:rPr>
                <w:color w:val="000000"/>
              </w:rPr>
              <w:t>    </w:t>
            </w:r>
            <w:r>
              <w:rPr/>
              <w:t xml:space="preserve"> </w:t>
            </w:r>
          </w:p>
        </w:tc>
      </w:tr>
      <w:tr>
        <w:trPr/>
        <w:tc>
          <w:tcPr>
            <w:tcW w:w="4951" w:type="dxa"/>
            <w:tcBorders/>
            <w:vAlign w:val="center"/>
          </w:tcPr>
          <w:p>
            <w:pPr>
              <w:pStyle w:val="TableContents"/>
              <w:bidi w:val="0"/>
              <w:spacing w:before="0" w:after="1"/>
              <w:jc w:val="left"/>
              <w:rPr/>
            </w:pPr>
            <w:r>
              <w:rPr/>
              <w:t xml:space="preserve">  </w:t>
            </w:r>
          </w:p>
        </w:tc>
        <w:tc>
          <w:tcPr>
            <w:tcW w:w="386" w:type="dxa"/>
            <w:tcBorders/>
            <w:vAlign w:val="center"/>
          </w:tcPr>
          <w:p>
            <w:pPr>
              <w:pStyle w:val="TableContents"/>
              <w:bidi w:val="0"/>
              <w:spacing w:before="0" w:after="1"/>
              <w:jc w:val="center"/>
              <w:rPr/>
            </w:pPr>
            <w:r>
              <w:rPr/>
              <w:t xml:space="preserve">  </w:t>
            </w:r>
          </w:p>
        </w:tc>
        <w:tc>
          <w:tcPr>
            <w:tcW w:w="871" w:type="dxa"/>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2026</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2025</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2026</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2025</w:t>
            </w: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rFonts w:ascii="Times New Roman" w:hAnsi="Times New Roman"/>
                <w:b/>
                <w:color w:val="000000"/>
                <w:sz w:val="18"/>
              </w:rPr>
            </w:pPr>
            <w:r>
              <w:rPr>
                <w:rFonts w:ascii="Times New Roman" w:hAnsi="Times New Roman"/>
                <w:b/>
                <w:color w:val="000000"/>
                <w:sz w:val="18"/>
              </w:rPr>
              <w:t xml:space="preserve">Performance Ratios: </w:t>
            </w:r>
          </w:p>
        </w:tc>
        <w:tc>
          <w:tcPr>
            <w:tcW w:w="38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right"/>
              <w:rPr/>
            </w:pP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right"/>
              <w:rPr/>
            </w:pP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right"/>
              <w:rPr/>
            </w:pP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right"/>
              <w:rPr/>
            </w:pP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pPr>
            <w:r>
              <w:rPr>
                <w:rFonts w:ascii="Times New Roman" w:hAnsi="Times New Roman"/>
                <w:color w:val="000000"/>
                <w:sz w:val="18"/>
              </w:rPr>
              <w:t>Return on average assets</w:t>
            </w:r>
            <w:r>
              <w:rPr>
                <w:color w:val="000000"/>
              </w:rPr>
              <w:t xml:space="preserve"> </w:t>
            </w:r>
            <w:r>
              <w:rPr>
                <w:rFonts w:ascii="Times New Roman" w:hAnsi="Times New Roman"/>
                <w:color w:val="000000"/>
                <w:sz w:val="12"/>
              </w:rPr>
              <w:t>(1)</w:t>
            </w:r>
            <w:r>
              <w:rPr/>
              <w:t xml:space="preserve"> </w:t>
            </w:r>
          </w:p>
        </w:tc>
        <w:tc>
          <w:tcPr>
            <w:tcW w:w="38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2.03%</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1.62%</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1.86%</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1.50%</w:t>
            </w: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pPr>
            <w:r>
              <w:rPr>
                <w:rFonts w:ascii="Times New Roman" w:hAnsi="Times New Roman"/>
                <w:color w:val="000000"/>
                <w:sz w:val="18"/>
              </w:rPr>
              <w:t>Return on average equity</w:t>
            </w:r>
            <w:r>
              <w:rPr>
                <w:color w:val="000000"/>
              </w:rPr>
              <w:t xml:space="preserve"> </w:t>
            </w:r>
            <w:r>
              <w:rPr>
                <w:rFonts w:ascii="Times New Roman" w:hAnsi="Times New Roman"/>
                <w:color w:val="000000"/>
                <w:sz w:val="12"/>
              </w:rPr>
              <w:t>(1)</w:t>
            </w:r>
            <w:r>
              <w:rPr/>
              <w:t xml:space="preserve"> </w:t>
            </w:r>
          </w:p>
        </w:tc>
        <w:tc>
          <w:tcPr>
            <w:tcW w:w="38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18.36%</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19.41%</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16.97%</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18.82%</w:t>
            </w: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pPr>
            <w:r>
              <w:rPr>
                <w:rFonts w:ascii="Times New Roman" w:hAnsi="Times New Roman"/>
                <w:color w:val="000000"/>
                <w:sz w:val="18"/>
              </w:rPr>
              <w:t xml:space="preserve">Interest rate spread </w:t>
            </w:r>
            <w:r>
              <w:rPr>
                <w:rFonts w:ascii="Times New Roman" w:hAnsi="Times New Roman"/>
                <w:color w:val="000000"/>
                <w:sz w:val="12"/>
              </w:rPr>
              <w:t>(2)</w:t>
            </w:r>
            <w:r>
              <w:rPr/>
              <w:t xml:space="preserve"> </w:t>
            </w:r>
          </w:p>
        </w:tc>
        <w:tc>
          <w:tcPr>
            <w:tcW w:w="38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3.87%</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3.43%</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3.84%</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3.36%</w:t>
            </w: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pPr>
            <w:r>
              <w:rPr>
                <w:rFonts w:ascii="Times New Roman" w:hAnsi="Times New Roman"/>
                <w:color w:val="000000"/>
                <w:sz w:val="18"/>
              </w:rPr>
              <w:t xml:space="preserve">Net interest margin </w:t>
            </w:r>
            <w:r>
              <w:rPr>
                <w:rFonts w:ascii="Times New Roman" w:hAnsi="Times New Roman"/>
                <w:color w:val="000000"/>
                <w:sz w:val="12"/>
              </w:rPr>
              <w:t>(3)</w:t>
            </w:r>
            <w:r>
              <w:rPr/>
              <w:t xml:space="preserve"> </w:t>
            </w:r>
          </w:p>
        </w:tc>
        <w:tc>
          <w:tcPr>
            <w:tcW w:w="38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4.44%</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4.06%</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4.42%</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4.00%</w:t>
            </w: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pPr>
            <w:r>
              <w:rPr>
                <w:rFonts w:ascii="Times New Roman" w:hAnsi="Times New Roman"/>
                <w:color w:val="000000"/>
                <w:sz w:val="18"/>
              </w:rPr>
              <w:t xml:space="preserve">Dividend payout ratio </w:t>
            </w:r>
            <w:r>
              <w:rPr>
                <w:rFonts w:ascii="Times New Roman" w:hAnsi="Times New Roman"/>
                <w:color w:val="000000"/>
                <w:sz w:val="12"/>
              </w:rPr>
              <w:t>(4)</w:t>
            </w:r>
            <w:r>
              <w:rPr/>
              <w:t xml:space="preserve"> </w:t>
            </w:r>
          </w:p>
        </w:tc>
        <w:tc>
          <w:tcPr>
            <w:tcW w:w="38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17.63%</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14.91%</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19.29%</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15.83%</w:t>
            </w: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pPr>
            <w:r>
              <w:rPr>
                <w:rFonts w:ascii="Times New Roman" w:hAnsi="Times New Roman"/>
                <w:color w:val="000000"/>
                <w:sz w:val="18"/>
              </w:rPr>
              <w:t>Non-interest income to average total assets  </w:t>
            </w:r>
            <w:r>
              <w:rPr/>
              <w:t xml:space="preserve"> </w:t>
            </w:r>
          </w:p>
        </w:tc>
        <w:tc>
          <w:tcPr>
            <w:tcW w:w="38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right"/>
              <w:rPr/>
            </w:pPr>
            <w:r>
              <w:rPr>
                <w:rFonts w:ascii="Times New Roman" w:hAnsi="Times New Roman"/>
                <w:color w:val="000000"/>
                <w:sz w:val="18"/>
              </w:rPr>
              <w:t>(0.09)%</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1.13%</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0.27%</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0.91%</w:t>
            </w: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pPr>
            <w:r>
              <w:rPr>
                <w:rFonts w:ascii="Times New Roman" w:hAnsi="Times New Roman"/>
                <w:color w:val="000000"/>
                <w:sz w:val="18"/>
              </w:rPr>
              <w:t>Non-interest expenses to average total assets  </w:t>
            </w:r>
            <w:r>
              <w:rPr/>
              <w:t xml:space="preserve"> </w:t>
            </w:r>
          </w:p>
        </w:tc>
        <w:tc>
          <w:tcPr>
            <w:tcW w:w="38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2.57%</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2.59%</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2.62%</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2.60%</w:t>
            </w: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Average interest-earning assets to average interest-bearing liabilities </w:t>
            </w:r>
          </w:p>
        </w:tc>
        <w:tc>
          <w:tcPr>
            <w:tcW w:w="38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158.45%</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148.25%</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158.07%</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148.13%</w:t>
            </w: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pPr>
            <w:r>
              <w:rPr/>
              <w:t xml:space="preserve">  </w:t>
            </w:r>
          </w:p>
        </w:tc>
        <w:tc>
          <w:tcPr>
            <w:tcW w:w="38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pPr>
            <w:r>
              <w:rPr/>
              <w:t xml:space="preserve">  </w:t>
            </w:r>
          </w:p>
        </w:tc>
        <w:tc>
          <w:tcPr>
            <w:tcW w:w="386" w:type="dxa"/>
            <w:tcBorders/>
            <w:vAlign w:val="center"/>
          </w:tcPr>
          <w:p>
            <w:pPr>
              <w:pStyle w:val="TableContents"/>
              <w:bidi w:val="0"/>
              <w:spacing w:before="0" w:after="1"/>
              <w:jc w:val="left"/>
              <w:rPr/>
            </w:pPr>
            <w:r>
              <w:rPr/>
              <w:t xml:space="preserve">  </w:t>
            </w:r>
          </w:p>
        </w:tc>
        <w:tc>
          <w:tcPr>
            <w:tcW w:w="1948" w:type="dxa"/>
            <w:gridSpan w:val="3"/>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At June 30,</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pPr>
            <w:r>
              <w:rPr/>
              <w:t xml:space="preserve">  </w:t>
            </w:r>
          </w:p>
        </w:tc>
        <w:tc>
          <w:tcPr>
            <w:tcW w:w="386" w:type="dxa"/>
            <w:tcBorders/>
            <w:vAlign w:val="center"/>
          </w:tcPr>
          <w:p>
            <w:pPr>
              <w:pStyle w:val="TableContents"/>
              <w:bidi w:val="0"/>
              <w:spacing w:before="0" w:after="1"/>
              <w:jc w:val="left"/>
              <w:rPr/>
            </w:pPr>
            <w:r>
              <w:rPr/>
              <w:t xml:space="preserve">  </w:t>
            </w:r>
          </w:p>
        </w:tc>
        <w:tc>
          <w:tcPr>
            <w:tcW w:w="871" w:type="dxa"/>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2026</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2025</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pPr>
            <w:r>
              <w:rPr>
                <w:rFonts w:ascii="Times New Roman" w:hAnsi="Times New Roman"/>
                <w:b/>
                <w:color w:val="000000"/>
                <w:sz w:val="18"/>
              </w:rPr>
              <w:t>Asset Quality Ratios:</w:t>
            </w:r>
            <w:r>
              <w:rPr/>
              <w:t xml:space="preserve"> </w:t>
            </w:r>
          </w:p>
        </w:tc>
        <w:tc>
          <w:tcPr>
            <w:tcW w:w="38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Non-performing assets to total assets </w:t>
            </w:r>
          </w:p>
        </w:tc>
        <w:tc>
          <w:tcPr>
            <w:tcW w:w="38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0.79%</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0.45%</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color w:val="000000"/>
              </w:rPr>
              <w:t> </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color w:val="000000"/>
              </w:rPr>
              <w:t> </w:t>
            </w: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Non-performing loans to total loans </w:t>
            </w:r>
          </w:p>
        </w:tc>
        <w:tc>
          <w:tcPr>
            <w:tcW w:w="38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1.16%</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0.61%</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color w:val="000000"/>
              </w:rPr>
              <w:t> </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color w:val="000000"/>
              </w:rPr>
              <w:t> </w:t>
            </w: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Allowance for credit losses to non-performing loans </w:t>
            </w:r>
          </w:p>
        </w:tc>
        <w:tc>
          <w:tcPr>
            <w:tcW w:w="38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118.86%</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242.51%</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color w:val="000000"/>
              </w:rPr>
              <w:t> </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color w:val="000000"/>
              </w:rPr>
              <w:t> </w:t>
            </w: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Allowance for credit losses to total loans </w:t>
            </w:r>
          </w:p>
        </w:tc>
        <w:tc>
          <w:tcPr>
            <w:tcW w:w="38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1.38%</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1.48%</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color w:val="000000"/>
              </w:rPr>
              <w:t> </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color w:val="000000"/>
              </w:rPr>
              <w:t> </w:t>
            </w: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pPr>
            <w:r>
              <w:rPr/>
              <w:t xml:space="preserve">  </w:t>
            </w:r>
          </w:p>
        </w:tc>
        <w:tc>
          <w:tcPr>
            <w:tcW w:w="38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right"/>
              <w:rPr/>
            </w:pP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jc w:val="right"/>
              <w:rPr/>
            </w:pP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pPr>
            <w:r>
              <w:rPr>
                <w:rFonts w:ascii="Times New Roman" w:hAnsi="Times New Roman"/>
                <w:b/>
                <w:color w:val="000000"/>
                <w:sz w:val="18"/>
              </w:rPr>
              <w:t xml:space="preserve">Capital Ratios </w:t>
            </w:r>
            <w:r>
              <w:rPr>
                <w:rFonts w:ascii="Times New Roman" w:hAnsi="Times New Roman"/>
                <w:b/>
                <w:color w:val="000000"/>
                <w:sz w:val="12"/>
              </w:rPr>
              <w:t>(5)</w:t>
            </w:r>
            <w:r>
              <w:rPr>
                <w:rFonts w:ascii="Times New Roman" w:hAnsi="Times New Roman"/>
                <w:b/>
                <w:color w:val="000000"/>
                <w:sz w:val="18"/>
              </w:rPr>
              <w:t>:</w:t>
            </w:r>
            <w:r>
              <w:rPr/>
              <w:t xml:space="preserve"> </w:t>
            </w:r>
          </w:p>
        </w:tc>
        <w:tc>
          <w:tcPr>
            <w:tcW w:w="38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right"/>
              <w:rPr/>
            </w:pP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jc w:val="right"/>
              <w:rPr/>
            </w:pP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pPr>
            <w:r>
              <w:rPr>
                <w:rFonts w:ascii="Times New Roman" w:hAnsi="Times New Roman"/>
                <w:color w:val="000000"/>
                <w:sz w:val="18"/>
              </w:rPr>
              <w:t>Total capital (to risk-weighted assets)  </w:t>
            </w:r>
            <w:r>
              <w:rPr/>
              <w:t xml:space="preserve"> </w:t>
            </w:r>
          </w:p>
        </w:tc>
        <w:tc>
          <w:tcPr>
            <w:tcW w:w="38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19.20%</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17.61%</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color w:val="000000"/>
              </w:rPr>
              <w:t> </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color w:val="000000"/>
              </w:rPr>
              <w:t> </w:t>
            </w: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Tier 1 capital (to risk-weighted assets) </w:t>
            </w:r>
          </w:p>
        </w:tc>
        <w:tc>
          <w:tcPr>
            <w:tcW w:w="38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17.95%</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16.36%</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color w:val="000000"/>
              </w:rPr>
              <w:t> </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color w:val="000000"/>
              </w:rPr>
              <w:t> </w:t>
            </w: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pPr>
            <w:r>
              <w:rPr>
                <w:rFonts w:ascii="Times New Roman" w:hAnsi="Times New Roman"/>
                <w:color w:val="000000"/>
                <w:sz w:val="18"/>
              </w:rPr>
              <w:t>Common equity tier 1 capital (to risk-weighted assets)  </w:t>
            </w:r>
            <w:r>
              <w:rPr/>
              <w:t xml:space="preserve"> </w:t>
            </w:r>
          </w:p>
        </w:tc>
        <w:tc>
          <w:tcPr>
            <w:tcW w:w="38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17.95%</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16.36%</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color w:val="000000"/>
              </w:rPr>
              <w:t> </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color w:val="000000"/>
              </w:rPr>
              <w:t> </w:t>
            </w:r>
            <w:r>
              <w:rPr/>
              <w:t xml:space="preserve"> </w:t>
            </w:r>
          </w:p>
        </w:tc>
        <w:tc>
          <w:tcPr>
            <w:tcW w:w="431" w:type="dxa"/>
            <w:tcBorders/>
            <w:vAlign w:val="center"/>
          </w:tcPr>
          <w:p>
            <w:pPr>
              <w:pStyle w:val="TableContents"/>
              <w:bidi w:val="0"/>
              <w:spacing w:before="0" w:after="1"/>
              <w:jc w:val="left"/>
              <w:rPr/>
            </w:pPr>
            <w:r>
              <w:rPr/>
              <w:t xml:space="preserve">  </w:t>
            </w:r>
          </w:p>
        </w:tc>
      </w:tr>
      <w:tr>
        <w:trPr/>
        <w:tc>
          <w:tcPr>
            <w:tcW w:w="49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Tier 1 capital (to average assets) </w:t>
            </w:r>
          </w:p>
        </w:tc>
        <w:tc>
          <w:tcPr>
            <w:tcW w:w="38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13.15%</w:t>
            </w:r>
            <w:r>
              <w:rPr/>
              <w:t xml:space="preserve"> </w:t>
            </w:r>
          </w:p>
        </w:tc>
        <w:tc>
          <w:tcPr>
            <w:tcW w:w="206" w:type="dxa"/>
            <w:tcBorders/>
            <w:vAlign w:val="center"/>
          </w:tcPr>
          <w:p>
            <w:pPr>
              <w:pStyle w:val="TableContents"/>
              <w:bidi w:val="0"/>
              <w:spacing w:before="0" w:after="1"/>
              <w:jc w:val="righ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12.40%</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color w:val="000000"/>
              </w:rPr>
              <w:t> </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color w:val="000000"/>
              </w:rPr>
              <w:t> </w:t>
            </w:r>
            <w:r>
              <w:rPr/>
              <w:t xml:space="preserve"> </w:t>
            </w:r>
          </w:p>
        </w:tc>
        <w:tc>
          <w:tcPr>
            <w:tcW w:w="431" w:type="dxa"/>
            <w:tcBorders/>
            <w:vAlign w:val="center"/>
          </w:tcPr>
          <w:p>
            <w:pPr>
              <w:pStyle w:val="TableContents"/>
              <w:bidi w:val="0"/>
              <w:spacing w:before="0" w:after="1"/>
              <w:jc w:val="left"/>
              <w:rPr/>
            </w:pPr>
            <w:r>
              <w:rPr/>
              <w:t xml:space="preserve">  </w:t>
            </w:r>
          </w:p>
        </w:tc>
      </w:tr>
    </w:tbl>
    <w:p>
      <w:pPr>
        <w:pStyle w:val="TextBody"/>
        <w:bidi w:val="0"/>
        <w:spacing w:before="0" w:after="0"/>
        <w:jc w:val="left"/>
        <w:rPr/>
      </w:pPr>
      <w:r>
        <w:rPr/>
        <w:t xml:space="preserve">  </w:t>
      </w:r>
    </w:p>
    <w:p>
      <w:pPr>
        <w:pStyle w:val="TextBody"/>
        <w:bidi w:val="0"/>
        <w:spacing w:before="0" w:after="0"/>
        <w:ind w:left="576" w:right="0" w:hanging="0"/>
        <w:jc w:val="left"/>
        <w:rPr/>
      </w:pPr>
      <w:r>
        <w:rPr>
          <w:rFonts w:ascii="Times New Roman" w:hAnsi="Times New Roman"/>
          <w:sz w:val="16"/>
          <w:u w:val="single"/>
        </w:rPr>
        <w:t>Notes:</w:t>
      </w:r>
      <w:r>
        <w:rPr/>
        <w:t xml:space="preserve"> </w:t>
      </w:r>
    </w:p>
    <w:p>
      <w:pPr>
        <w:pStyle w:val="TextBody"/>
        <w:bidi w:val="0"/>
        <w:spacing w:before="0" w:after="0"/>
        <w:ind w:left="576" w:right="0" w:hanging="0"/>
        <w:jc w:val="both"/>
        <w:rPr/>
      </w:pPr>
      <w:r>
        <w:rPr>
          <w:rFonts w:ascii="Times New Roman" w:hAnsi="Times New Roman"/>
          <w:sz w:val="10"/>
        </w:rPr>
        <w:t>(1)</w:t>
      </w:r>
      <w:r>
        <w:rPr/>
        <w:t> </w:t>
      </w:r>
      <w:r>
        <w:rPr>
          <w:rFonts w:ascii="Times New Roman" w:hAnsi="Times New Roman"/>
          <w:sz w:val="16"/>
        </w:rPr>
        <w:t>Annualized for the three and six months ended June 30, 2026 and 2025, respectively.</w:t>
      </w:r>
      <w:r>
        <w:rPr/>
        <w:t xml:space="preserve"> </w:t>
      </w:r>
    </w:p>
    <w:p>
      <w:pPr>
        <w:pStyle w:val="TextBody"/>
        <w:bidi w:val="0"/>
        <w:spacing w:before="0" w:after="0"/>
        <w:ind w:left="576" w:right="0" w:hanging="0"/>
        <w:jc w:val="both"/>
        <w:rPr/>
      </w:pPr>
      <w:r>
        <w:rPr>
          <w:rFonts w:ascii="Times New Roman" w:hAnsi="Times New Roman"/>
          <w:sz w:val="10"/>
        </w:rPr>
        <w:t>(2)</w:t>
      </w:r>
      <w:r>
        <w:rPr/>
        <w:t> </w:t>
      </w:r>
      <w:r>
        <w:rPr>
          <w:rFonts w:ascii="Times New Roman" w:hAnsi="Times New Roman"/>
          <w:sz w:val="16"/>
        </w:rPr>
        <w:t>Represents the difference between the weighted-average yield on interest-earning assets and the weighted-average cost of interest-bearing liabilities for the periods.</w:t>
      </w:r>
      <w:r>
        <w:rPr/>
        <w:t xml:space="preserve"> </w:t>
      </w:r>
    </w:p>
    <w:p>
      <w:pPr>
        <w:pStyle w:val="TextBody"/>
        <w:bidi w:val="0"/>
        <w:spacing w:before="0" w:after="0"/>
        <w:ind w:left="576" w:right="0" w:hanging="0"/>
        <w:jc w:val="both"/>
        <w:rPr/>
      </w:pPr>
      <w:r>
        <w:rPr>
          <w:rFonts w:ascii="Times New Roman" w:hAnsi="Times New Roman"/>
          <w:sz w:val="10"/>
        </w:rPr>
        <w:t>(3)</w:t>
      </w:r>
      <w:r>
        <w:rPr/>
        <w:t> </w:t>
      </w:r>
      <w:r>
        <w:rPr>
          <w:rFonts w:ascii="Times New Roman" w:hAnsi="Times New Roman"/>
          <w:sz w:val="16"/>
        </w:rPr>
        <w:t>The net interest margin represents net interest income as a percent of average interest-earning assets for the periods.</w:t>
      </w:r>
      <w:r>
        <w:rPr/>
        <w:t xml:space="preserve"> </w:t>
      </w:r>
    </w:p>
    <w:p>
      <w:pPr>
        <w:pStyle w:val="TextBody"/>
        <w:bidi w:val="0"/>
        <w:spacing w:before="0" w:after="0"/>
        <w:ind w:left="576" w:right="0" w:hanging="0"/>
        <w:jc w:val="both"/>
        <w:rPr/>
      </w:pPr>
      <w:r>
        <w:rPr>
          <w:rFonts w:ascii="Times New Roman" w:hAnsi="Times New Roman"/>
          <w:sz w:val="10"/>
        </w:rPr>
        <w:t>(4)</w:t>
      </w:r>
      <w:r>
        <w:rPr/>
        <w:t> </w:t>
      </w:r>
      <w:r>
        <w:rPr>
          <w:rFonts w:ascii="Times New Roman" w:hAnsi="Times New Roman"/>
          <w:sz w:val="16"/>
        </w:rPr>
        <w:t>The dividend payout ratio represents dividends paid per share divided by net income per share.</w:t>
      </w:r>
      <w:r>
        <w:rPr/>
        <w:t xml:space="preserve"> </w:t>
      </w:r>
    </w:p>
    <w:p>
      <w:pPr>
        <w:pStyle w:val="TextBody"/>
        <w:bidi w:val="0"/>
        <w:spacing w:before="0" w:after="0"/>
        <w:ind w:left="576" w:right="0" w:hanging="0"/>
        <w:jc w:val="both"/>
        <w:rPr/>
      </w:pPr>
      <w:r>
        <w:rPr>
          <w:rFonts w:ascii="Times New Roman" w:hAnsi="Times New Roman"/>
          <w:sz w:val="10"/>
        </w:rPr>
        <w:t>(5)</w:t>
      </w:r>
      <w:r>
        <w:rPr/>
        <w:t> </w:t>
      </w:r>
      <w:r>
        <w:rPr>
          <w:rFonts w:ascii="Times New Roman" w:hAnsi="Times New Roman"/>
          <w:sz w:val="16"/>
        </w:rPr>
        <w:t xml:space="preserve">Ratios are for Bank only.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rFonts w:ascii="Times New Roman" w:hAnsi="Times New Roman"/>
          <w:b/>
          <w:sz w:val="20"/>
        </w:rPr>
        <w:t>ORANGE COUNTY BANCORP, INC.</w:t>
      </w:r>
      <w:r>
        <w:rPr/>
        <w:t xml:space="preserve"> </w:t>
      </w:r>
    </w:p>
    <w:p>
      <w:pPr>
        <w:pStyle w:val="TextBody"/>
        <w:bidi w:val="0"/>
        <w:spacing w:before="0" w:after="0"/>
        <w:jc w:val="center"/>
        <w:rPr/>
      </w:pPr>
      <w:r>
        <w:rPr>
          <w:rFonts w:ascii="Times New Roman" w:hAnsi="Times New Roman"/>
          <w:b/>
          <w:sz w:val="20"/>
        </w:rPr>
        <w:t>SELECTED OPERATING DATA</w:t>
      </w:r>
      <w:r>
        <w:rPr/>
        <w:t xml:space="preserve"> </w:t>
      </w:r>
    </w:p>
    <w:p>
      <w:pPr>
        <w:pStyle w:val="TextBody"/>
        <w:bidi w:val="0"/>
        <w:spacing w:before="0" w:after="0"/>
        <w:jc w:val="center"/>
        <w:rPr/>
      </w:pPr>
      <w:r>
        <w:rPr>
          <w:rFonts w:ascii="Times New Roman" w:hAnsi="Times New Roman"/>
          <w:b/>
          <w:sz w:val="20"/>
        </w:rPr>
        <w:t>(UNAUDITED)</w:t>
      </w:r>
      <w:r>
        <w:rPr/>
        <w:t xml:space="preserve"> </w:t>
      </w:r>
    </w:p>
    <w:p>
      <w:pPr>
        <w:pStyle w:val="TextBody"/>
        <w:bidi w:val="0"/>
        <w:spacing w:before="0" w:after="0"/>
        <w:jc w:val="center"/>
        <w:rPr/>
      </w:pPr>
      <w:r>
        <w:rPr>
          <w:rFonts w:ascii="Times New Roman" w:hAnsi="Times New Roman"/>
          <w:sz w:val="16"/>
        </w:rPr>
        <w:t>(Dollar amounts in thousands except per share data)</w:t>
      </w:r>
      <w:r>
        <w:rPr/>
        <w:t xml:space="preserve"> </w:t>
      </w:r>
    </w:p>
    <w:p>
      <w:pPr>
        <w:pStyle w:val="TextBody"/>
        <w:bidi w:val="0"/>
        <w:spacing w:before="0" w:after="0"/>
        <w:jc w:val="center"/>
        <w:rPr/>
      </w:pPr>
      <w:r>
        <w:rPr/>
        <w:t xml:space="preserve">  </w:t>
      </w:r>
    </w:p>
    <w:p>
      <w:pPr>
        <w:pStyle w:val="TextBody"/>
        <w:bidi w:val="0"/>
        <w:spacing w:before="0" w:after="0"/>
        <w:jc w:val="center"/>
        <w:rPr/>
      </w:pPr>
      <w:r>
        <w:rPr/>
        <w:t xml:space="preserve">  </w:t>
      </w:r>
    </w:p>
    <w:tbl>
      <w:tblPr>
        <w:tblW w:w="10205" w:type="dxa"/>
        <w:jc w:val="left"/>
        <w:tblInd w:w="0" w:type="dxa"/>
        <w:tblLayout w:type="fixed"/>
        <w:tblCellMar>
          <w:top w:w="28" w:type="dxa"/>
          <w:left w:w="28" w:type="dxa"/>
          <w:bottom w:w="28" w:type="dxa"/>
          <w:right w:w="28" w:type="dxa"/>
        </w:tblCellMar>
      </w:tblPr>
      <w:tblGrid>
        <w:gridCol w:w="4129"/>
        <w:gridCol w:w="202"/>
        <w:gridCol w:w="252"/>
        <w:gridCol w:w="1032"/>
        <w:gridCol w:w="202"/>
        <w:gridCol w:w="268"/>
        <w:gridCol w:w="1098"/>
        <w:gridCol w:w="202"/>
        <w:gridCol w:w="252"/>
        <w:gridCol w:w="1032"/>
        <w:gridCol w:w="202"/>
        <w:gridCol w:w="252"/>
        <w:gridCol w:w="1082"/>
      </w:tblGrid>
      <w:tr>
        <w:trPr/>
        <w:tc>
          <w:tcPr>
            <w:tcW w:w="4129" w:type="dxa"/>
            <w:tcBorders/>
            <w:vAlign w:val="center"/>
          </w:tcPr>
          <w:p>
            <w:pPr>
              <w:pStyle w:val="TableContents"/>
              <w:bidi w:val="0"/>
              <w:spacing w:before="0" w:after="1"/>
              <w:jc w:val="left"/>
              <w:rPr/>
            </w:pP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jc w:val="left"/>
              <w:rPr/>
            </w:pPr>
            <w:r>
              <w:rPr/>
              <w:t xml:space="preserve">  </w:t>
            </w:r>
          </w:p>
        </w:tc>
        <w:tc>
          <w:tcPr>
            <w:tcW w:w="202" w:type="dxa"/>
            <w:tcBorders/>
            <w:vAlign w:val="center"/>
          </w:tcPr>
          <w:p>
            <w:pPr>
              <w:pStyle w:val="TableContents"/>
              <w:bidi w:val="0"/>
              <w:spacing w:before="0" w:after="1"/>
              <w:jc w:val="left"/>
              <w:rPr/>
            </w:pPr>
            <w:r>
              <w:rPr/>
              <w:t xml:space="preserve">  </w:t>
            </w:r>
          </w:p>
        </w:tc>
        <w:tc>
          <w:tcPr>
            <w:tcW w:w="268" w:type="dxa"/>
            <w:tcBorders/>
            <w:vAlign w:val="center"/>
          </w:tcPr>
          <w:p>
            <w:pPr>
              <w:pStyle w:val="TableContents"/>
              <w:bidi w:val="0"/>
              <w:spacing w:before="0" w:after="1"/>
              <w:jc w:val="left"/>
              <w:rPr/>
            </w:pPr>
            <w:r>
              <w:rPr/>
              <w:t xml:space="preserve">  </w:t>
            </w:r>
          </w:p>
        </w:tc>
        <w:tc>
          <w:tcPr>
            <w:tcW w:w="1098" w:type="dxa"/>
            <w:tcBorders/>
            <w:vAlign w:val="center"/>
          </w:tcPr>
          <w:p>
            <w:pPr>
              <w:pStyle w:val="TableContents"/>
              <w:bidi w:val="0"/>
              <w:spacing w:before="0" w:after="1"/>
              <w:jc w:val="left"/>
              <w:rPr/>
            </w:pP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jc w:val="left"/>
              <w:rPr/>
            </w:pP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82" w:type="dxa"/>
            <w:tcBorders/>
            <w:vAlign w:val="center"/>
          </w:tcPr>
          <w:p>
            <w:pPr>
              <w:pStyle w:val="TableContents"/>
              <w:bidi w:val="0"/>
              <w:spacing w:before="0" w:after="1"/>
              <w:jc w:val="left"/>
              <w:rPr/>
            </w:pPr>
            <w:r>
              <w:rPr/>
              <w:t xml:space="preserve">  </w:t>
            </w:r>
          </w:p>
        </w:tc>
      </w:tr>
      <w:tr>
        <w:trPr/>
        <w:tc>
          <w:tcPr>
            <w:tcW w:w="4129" w:type="dxa"/>
            <w:tcBorders/>
            <w:vAlign w:val="center"/>
          </w:tcPr>
          <w:p>
            <w:pPr>
              <w:pStyle w:val="TableContents"/>
              <w:bidi w:val="0"/>
              <w:spacing w:before="0" w:after="1"/>
              <w:jc w:val="left"/>
              <w:rPr/>
            </w:pP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2600" w:type="dxa"/>
            <w:gridSpan w:val="4"/>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Three Months Ended June 30,</w:t>
            </w:r>
            <w:r>
              <w:rPr/>
              <w:t xml:space="preserve"> </w:t>
            </w:r>
          </w:p>
        </w:tc>
        <w:tc>
          <w:tcPr>
            <w:tcW w:w="202" w:type="dxa"/>
            <w:tcBorders/>
            <w:vAlign w:val="center"/>
          </w:tcPr>
          <w:p>
            <w:pPr>
              <w:pStyle w:val="TableContents"/>
              <w:bidi w:val="0"/>
              <w:spacing w:before="0" w:after="1"/>
              <w:jc w:val="center"/>
              <w:rPr/>
            </w:pPr>
            <w:r>
              <w:rPr/>
              <w:t xml:space="preserve">  </w:t>
            </w:r>
          </w:p>
        </w:tc>
        <w:tc>
          <w:tcPr>
            <w:tcW w:w="252"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2568" w:type="dxa"/>
            <w:gridSpan w:val="4"/>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Six Months Ended June 30,</w:t>
            </w:r>
            <w:r>
              <w:rPr/>
              <w:t xml:space="preserve"> </w:t>
            </w:r>
          </w:p>
        </w:tc>
      </w:tr>
      <w:tr>
        <w:trPr/>
        <w:tc>
          <w:tcPr>
            <w:tcW w:w="4129" w:type="dxa"/>
            <w:tcBorders/>
            <w:vAlign w:val="center"/>
          </w:tcPr>
          <w:p>
            <w:pPr>
              <w:pStyle w:val="TableContents"/>
              <w:bidi w:val="0"/>
              <w:spacing w:before="0" w:after="1"/>
              <w:jc w:val="center"/>
              <w:rPr/>
            </w:pPr>
            <w:r>
              <w:rPr/>
              <w:t xml:space="preserve">  </w:t>
            </w:r>
          </w:p>
        </w:tc>
        <w:tc>
          <w:tcPr>
            <w:tcW w:w="202" w:type="dxa"/>
            <w:tcBorders/>
            <w:vAlign w:val="center"/>
          </w:tcPr>
          <w:p>
            <w:pPr>
              <w:pStyle w:val="TableContents"/>
              <w:bidi w:val="0"/>
              <w:spacing w:before="0" w:after="1"/>
              <w:jc w:val="center"/>
              <w:rPr/>
            </w:pPr>
            <w:r>
              <w:rPr/>
              <w:t xml:space="preserve">  </w:t>
            </w:r>
          </w:p>
        </w:tc>
        <w:tc>
          <w:tcPr>
            <w:tcW w:w="1284"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2026</w:t>
            </w:r>
            <w:r>
              <w:rPr/>
              <w:t xml:space="preserve"> </w:t>
            </w:r>
          </w:p>
        </w:tc>
        <w:tc>
          <w:tcPr>
            <w:tcW w:w="202" w:type="dxa"/>
            <w:tcBorders/>
            <w:vAlign w:val="center"/>
          </w:tcPr>
          <w:p>
            <w:pPr>
              <w:pStyle w:val="TableContents"/>
              <w:bidi w:val="0"/>
              <w:spacing w:before="0" w:after="1"/>
              <w:jc w:val="center"/>
              <w:rPr/>
            </w:pPr>
            <w:r>
              <w:rPr/>
              <w:t xml:space="preserve">  </w:t>
            </w:r>
          </w:p>
        </w:tc>
        <w:tc>
          <w:tcPr>
            <w:tcW w:w="1366"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2025</w:t>
            </w:r>
            <w:r>
              <w:rPr/>
              <w:t xml:space="preserve"> </w:t>
            </w:r>
          </w:p>
        </w:tc>
        <w:tc>
          <w:tcPr>
            <w:tcW w:w="202" w:type="dxa"/>
            <w:tcBorders/>
            <w:vAlign w:val="center"/>
          </w:tcPr>
          <w:p>
            <w:pPr>
              <w:pStyle w:val="TableContents"/>
              <w:bidi w:val="0"/>
              <w:spacing w:before="0" w:after="1"/>
              <w:jc w:val="center"/>
              <w:rPr/>
            </w:pPr>
            <w:r>
              <w:rPr/>
              <w:t xml:space="preserve">  </w:t>
            </w:r>
          </w:p>
        </w:tc>
        <w:tc>
          <w:tcPr>
            <w:tcW w:w="1284"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2026</w:t>
            </w:r>
            <w:r>
              <w:rPr/>
              <w:t xml:space="preserve"> </w:t>
            </w:r>
          </w:p>
        </w:tc>
        <w:tc>
          <w:tcPr>
            <w:tcW w:w="202" w:type="dxa"/>
            <w:tcBorders/>
            <w:vAlign w:val="center"/>
          </w:tcPr>
          <w:p>
            <w:pPr>
              <w:pStyle w:val="TableContents"/>
              <w:bidi w:val="0"/>
              <w:spacing w:before="0" w:after="1"/>
              <w:jc w:val="center"/>
              <w:rPr/>
            </w:pPr>
            <w:r>
              <w:rPr/>
              <w:t xml:space="preserve">  </w:t>
            </w:r>
          </w:p>
        </w:tc>
        <w:tc>
          <w:tcPr>
            <w:tcW w:w="1334"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2025</w:t>
            </w:r>
            <w:r>
              <w:rPr/>
              <w:t xml:space="preserve"> </w:t>
            </w:r>
          </w:p>
        </w:tc>
      </w:tr>
      <w:tr>
        <w:trPr/>
        <w:tc>
          <w:tcPr>
            <w:tcW w:w="4129"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Interest income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32" w:type="dxa"/>
            <w:tcBorders/>
            <w:vAlign w:val="center"/>
          </w:tcPr>
          <w:p>
            <w:pPr>
              <w:pStyle w:val="TableContents"/>
              <w:bidi w:val="0"/>
              <w:spacing w:before="0" w:after="1"/>
              <w:ind w:left="0" w:right="60" w:hanging="0"/>
              <w:jc w:val="right"/>
              <w:rPr/>
            </w:pPr>
            <w:r>
              <w:rPr>
                <w:rFonts w:ascii="Times New Roman" w:hAnsi="Times New Roman"/>
                <w:color w:val="000000"/>
                <w:sz w:val="18"/>
              </w:rPr>
              <w:t>34,550</w:t>
            </w:r>
            <w:r>
              <w:rPr/>
              <w:t xml:space="preserve"> </w:t>
            </w:r>
          </w:p>
        </w:tc>
        <w:tc>
          <w:tcPr>
            <w:tcW w:w="202" w:type="dxa"/>
            <w:tcBorders/>
            <w:vAlign w:val="center"/>
          </w:tcPr>
          <w:p>
            <w:pPr>
              <w:pStyle w:val="TableContents"/>
              <w:bidi w:val="0"/>
              <w:spacing w:before="0" w:after="1"/>
              <w:jc w:val="left"/>
              <w:rPr/>
            </w:pPr>
            <w:r>
              <w:rPr/>
              <w:t xml:space="preserve">  </w:t>
            </w:r>
          </w:p>
        </w:tc>
        <w:tc>
          <w:tcPr>
            <w:tcW w:w="268"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98" w:type="dxa"/>
            <w:tcBorders/>
            <w:vAlign w:val="center"/>
          </w:tcPr>
          <w:p>
            <w:pPr>
              <w:pStyle w:val="TableContents"/>
              <w:bidi w:val="0"/>
              <w:spacing w:before="0" w:after="1"/>
              <w:ind w:left="0" w:right="60" w:hanging="0"/>
              <w:jc w:val="right"/>
              <w:rPr/>
            </w:pPr>
            <w:r>
              <w:rPr>
                <w:rFonts w:ascii="Times New Roman" w:hAnsi="Times New Roman"/>
                <w:color w:val="000000"/>
                <w:sz w:val="18"/>
              </w:rPr>
              <w:t>33,224</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32" w:type="dxa"/>
            <w:tcBorders/>
            <w:vAlign w:val="center"/>
          </w:tcPr>
          <w:p>
            <w:pPr>
              <w:pStyle w:val="TableContents"/>
              <w:bidi w:val="0"/>
              <w:spacing w:before="0" w:after="1"/>
              <w:ind w:left="0" w:right="60" w:hanging="0"/>
              <w:jc w:val="right"/>
              <w:rPr/>
            </w:pPr>
            <w:r>
              <w:rPr>
                <w:rFonts w:ascii="Times New Roman" w:hAnsi="Times New Roman"/>
                <w:color w:val="000000"/>
                <w:sz w:val="18"/>
              </w:rPr>
              <w:t>68,969</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82" w:type="dxa"/>
            <w:tcBorders/>
            <w:vAlign w:val="center"/>
          </w:tcPr>
          <w:p>
            <w:pPr>
              <w:pStyle w:val="TableContents"/>
              <w:bidi w:val="0"/>
              <w:spacing w:before="0" w:after="1"/>
              <w:ind w:left="0" w:right="60" w:hanging="0"/>
              <w:jc w:val="right"/>
              <w:rPr/>
            </w:pPr>
            <w:r>
              <w:rPr>
                <w:rFonts w:ascii="Times New Roman" w:hAnsi="Times New Roman"/>
                <w:color w:val="000000"/>
                <w:sz w:val="18"/>
              </w:rPr>
              <w:t>65,131</w:t>
            </w:r>
            <w:r>
              <w:rPr/>
              <w:t xml:space="preserve"> </w:t>
            </w:r>
          </w:p>
        </w:tc>
      </w:tr>
      <w:tr>
        <w:trPr/>
        <w:tc>
          <w:tcPr>
            <w:tcW w:w="4129"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Interest expense </w:t>
            </w:r>
          </w:p>
        </w:tc>
        <w:tc>
          <w:tcPr>
            <w:tcW w:w="202" w:type="dxa"/>
            <w:tcBorders/>
            <w:vAlign w:val="center"/>
          </w:tcPr>
          <w:p>
            <w:pPr>
              <w:pStyle w:val="TableContents"/>
              <w:bidi w:val="0"/>
              <w:spacing w:before="0" w:after="1"/>
              <w:jc w:val="left"/>
              <w:rPr/>
            </w:pPr>
            <w:r>
              <w:rPr/>
              <w:t xml:space="preserve">  </w:t>
            </w:r>
          </w:p>
        </w:tc>
        <w:tc>
          <w:tcPr>
            <w:tcW w:w="252"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103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6,128</w:t>
            </w:r>
            <w:r>
              <w:rPr/>
              <w:t xml:space="preserve"> </w:t>
            </w:r>
          </w:p>
        </w:tc>
        <w:tc>
          <w:tcPr>
            <w:tcW w:w="202" w:type="dxa"/>
            <w:tcBorders/>
            <w:vAlign w:val="center"/>
          </w:tcPr>
          <w:p>
            <w:pPr>
              <w:pStyle w:val="TableContents"/>
              <w:bidi w:val="0"/>
              <w:spacing w:before="0" w:after="1"/>
              <w:jc w:val="left"/>
              <w:rPr/>
            </w:pPr>
            <w:r>
              <w:rPr/>
              <w:t xml:space="preserve">  </w:t>
            </w:r>
          </w:p>
        </w:tc>
        <w:tc>
          <w:tcPr>
            <w:tcW w:w="268"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1098"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8,084</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103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12,646</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108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16,363</w:t>
            </w:r>
            <w:r>
              <w:rPr/>
              <w:t xml:space="preserve"> </w:t>
            </w:r>
          </w:p>
        </w:tc>
      </w:tr>
      <w:tr>
        <w:trPr/>
        <w:tc>
          <w:tcPr>
            <w:tcW w:w="4129"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Net interest income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ind w:left="0" w:right="60" w:hanging="0"/>
              <w:jc w:val="right"/>
              <w:rPr/>
            </w:pPr>
            <w:r>
              <w:rPr>
                <w:rFonts w:ascii="Times New Roman" w:hAnsi="Times New Roman"/>
                <w:color w:val="000000"/>
                <w:sz w:val="18"/>
              </w:rPr>
              <w:t>28,422</w:t>
            </w:r>
            <w:r>
              <w:rPr/>
              <w:t xml:space="preserve"> </w:t>
            </w:r>
          </w:p>
        </w:tc>
        <w:tc>
          <w:tcPr>
            <w:tcW w:w="202" w:type="dxa"/>
            <w:tcBorders/>
            <w:vAlign w:val="center"/>
          </w:tcPr>
          <w:p>
            <w:pPr>
              <w:pStyle w:val="TableContents"/>
              <w:bidi w:val="0"/>
              <w:spacing w:before="0" w:after="1"/>
              <w:jc w:val="left"/>
              <w:rPr/>
            </w:pPr>
            <w:r>
              <w:rPr/>
              <w:t xml:space="preserve">  </w:t>
            </w:r>
          </w:p>
        </w:tc>
        <w:tc>
          <w:tcPr>
            <w:tcW w:w="268" w:type="dxa"/>
            <w:tcBorders/>
            <w:vAlign w:val="center"/>
          </w:tcPr>
          <w:p>
            <w:pPr>
              <w:pStyle w:val="TableContents"/>
              <w:bidi w:val="0"/>
              <w:spacing w:before="0" w:after="1"/>
              <w:jc w:val="left"/>
              <w:rPr/>
            </w:pPr>
            <w:r>
              <w:rPr/>
              <w:t xml:space="preserve">  </w:t>
            </w:r>
          </w:p>
        </w:tc>
        <w:tc>
          <w:tcPr>
            <w:tcW w:w="1098" w:type="dxa"/>
            <w:tcBorders/>
            <w:vAlign w:val="center"/>
          </w:tcPr>
          <w:p>
            <w:pPr>
              <w:pStyle w:val="TableContents"/>
              <w:bidi w:val="0"/>
              <w:spacing w:before="0" w:after="1"/>
              <w:ind w:left="0" w:right="60" w:hanging="0"/>
              <w:jc w:val="right"/>
              <w:rPr/>
            </w:pPr>
            <w:r>
              <w:rPr>
                <w:rFonts w:ascii="Times New Roman" w:hAnsi="Times New Roman"/>
                <w:color w:val="000000"/>
                <w:sz w:val="18"/>
              </w:rPr>
              <w:t>25,140</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ind w:left="0" w:right="60" w:hanging="0"/>
              <w:jc w:val="right"/>
              <w:rPr/>
            </w:pPr>
            <w:r>
              <w:rPr>
                <w:rFonts w:ascii="Times New Roman" w:hAnsi="Times New Roman"/>
                <w:color w:val="000000"/>
                <w:sz w:val="18"/>
              </w:rPr>
              <w:t>56,323</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82" w:type="dxa"/>
            <w:tcBorders/>
            <w:vAlign w:val="center"/>
          </w:tcPr>
          <w:p>
            <w:pPr>
              <w:pStyle w:val="TableContents"/>
              <w:bidi w:val="0"/>
              <w:spacing w:before="0" w:after="1"/>
              <w:ind w:left="0" w:right="60" w:hanging="0"/>
              <w:jc w:val="right"/>
              <w:rPr/>
            </w:pPr>
            <w:r>
              <w:rPr>
                <w:rFonts w:ascii="Times New Roman" w:hAnsi="Times New Roman"/>
                <w:color w:val="000000"/>
                <w:sz w:val="18"/>
              </w:rPr>
              <w:t>48,768</w:t>
            </w:r>
            <w:r>
              <w:rPr/>
              <w:t xml:space="preserve"> </w:t>
            </w:r>
          </w:p>
        </w:tc>
      </w:tr>
      <w:tr>
        <w:trPr/>
        <w:tc>
          <w:tcPr>
            <w:tcW w:w="4129"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Provision (credit) for credit losses </w:t>
            </w:r>
          </w:p>
        </w:tc>
        <w:tc>
          <w:tcPr>
            <w:tcW w:w="202" w:type="dxa"/>
            <w:tcBorders/>
            <w:vAlign w:val="center"/>
          </w:tcPr>
          <w:p>
            <w:pPr>
              <w:pStyle w:val="TableContents"/>
              <w:bidi w:val="0"/>
              <w:spacing w:before="0" w:after="1"/>
              <w:jc w:val="left"/>
              <w:rPr/>
            </w:pPr>
            <w:r>
              <w:rPr/>
              <w:t xml:space="preserve">  </w:t>
            </w:r>
          </w:p>
        </w:tc>
        <w:tc>
          <w:tcPr>
            <w:tcW w:w="252"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1032" w:type="dxa"/>
            <w:tcBorders>
              <w:bottom w:val="single" w:sz="8" w:space="0" w:color="000000"/>
            </w:tcBorders>
            <w:tcMar>
              <w:top w:w="0" w:type="dxa"/>
              <w:left w:w="0" w:type="dxa"/>
              <w:right w:w="0" w:type="dxa"/>
            </w:tcMar>
            <w:vAlign w:val="center"/>
          </w:tcPr>
          <w:p>
            <w:pPr>
              <w:pStyle w:val="TableContents"/>
              <w:bidi w:val="0"/>
              <w:spacing w:before="0" w:after="1"/>
              <w:jc w:val="right"/>
              <w:rPr/>
            </w:pPr>
            <w:r>
              <w:rPr>
                <w:rFonts w:ascii="Times New Roman" w:hAnsi="Times New Roman"/>
                <w:color w:val="000000"/>
                <w:sz w:val="18"/>
              </w:rPr>
              <w:t>(1,014)</w:t>
            </w:r>
            <w:r>
              <w:rPr/>
              <w:t xml:space="preserve"> </w:t>
            </w:r>
          </w:p>
        </w:tc>
        <w:tc>
          <w:tcPr>
            <w:tcW w:w="202" w:type="dxa"/>
            <w:tcBorders/>
            <w:vAlign w:val="center"/>
          </w:tcPr>
          <w:p>
            <w:pPr>
              <w:pStyle w:val="TableContents"/>
              <w:bidi w:val="0"/>
              <w:spacing w:before="0" w:after="1"/>
              <w:jc w:val="left"/>
              <w:rPr/>
            </w:pPr>
            <w:r>
              <w:rPr/>
              <w:t xml:space="preserve">  </w:t>
            </w:r>
          </w:p>
        </w:tc>
        <w:tc>
          <w:tcPr>
            <w:tcW w:w="268"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1098"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2,113</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1032" w:type="dxa"/>
            <w:tcBorders>
              <w:bottom w:val="single" w:sz="8" w:space="0" w:color="000000"/>
            </w:tcBorders>
            <w:tcMar>
              <w:top w:w="0" w:type="dxa"/>
              <w:left w:w="0" w:type="dxa"/>
              <w:right w:w="0" w:type="dxa"/>
            </w:tcMar>
            <w:vAlign w:val="center"/>
          </w:tcPr>
          <w:p>
            <w:pPr>
              <w:pStyle w:val="TableContents"/>
              <w:bidi w:val="0"/>
              <w:spacing w:before="0" w:after="1"/>
              <w:jc w:val="right"/>
              <w:rPr/>
            </w:pPr>
            <w:r>
              <w:rPr>
                <w:rFonts w:ascii="Times New Roman" w:hAnsi="Times New Roman"/>
                <w:color w:val="000000"/>
                <w:sz w:val="18"/>
              </w:rPr>
              <w:t>(1,450)</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108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2,315</w:t>
            </w:r>
            <w:r>
              <w:rPr/>
              <w:t xml:space="preserve"> </w:t>
            </w:r>
          </w:p>
        </w:tc>
      </w:tr>
      <w:tr>
        <w:trPr/>
        <w:tc>
          <w:tcPr>
            <w:tcW w:w="4129"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Net interest income after provision (credit) for credit losses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ind w:left="0" w:right="60" w:hanging="0"/>
              <w:jc w:val="right"/>
              <w:rPr/>
            </w:pPr>
            <w:r>
              <w:rPr>
                <w:rFonts w:ascii="Times New Roman" w:hAnsi="Times New Roman"/>
                <w:color w:val="000000"/>
                <w:sz w:val="18"/>
              </w:rPr>
              <w:t>29,436</w:t>
            </w:r>
            <w:r>
              <w:rPr/>
              <w:t xml:space="preserve"> </w:t>
            </w:r>
          </w:p>
        </w:tc>
        <w:tc>
          <w:tcPr>
            <w:tcW w:w="202" w:type="dxa"/>
            <w:tcBorders/>
            <w:vAlign w:val="center"/>
          </w:tcPr>
          <w:p>
            <w:pPr>
              <w:pStyle w:val="TableContents"/>
              <w:bidi w:val="0"/>
              <w:spacing w:before="0" w:after="1"/>
              <w:jc w:val="left"/>
              <w:rPr/>
            </w:pPr>
            <w:r>
              <w:rPr/>
              <w:t xml:space="preserve">  </w:t>
            </w:r>
          </w:p>
        </w:tc>
        <w:tc>
          <w:tcPr>
            <w:tcW w:w="268" w:type="dxa"/>
            <w:tcBorders/>
            <w:vAlign w:val="center"/>
          </w:tcPr>
          <w:p>
            <w:pPr>
              <w:pStyle w:val="TableContents"/>
              <w:bidi w:val="0"/>
              <w:spacing w:before="0" w:after="1"/>
              <w:jc w:val="left"/>
              <w:rPr/>
            </w:pPr>
            <w:r>
              <w:rPr/>
              <w:t xml:space="preserve">  </w:t>
            </w:r>
          </w:p>
        </w:tc>
        <w:tc>
          <w:tcPr>
            <w:tcW w:w="1098" w:type="dxa"/>
            <w:tcBorders/>
            <w:vAlign w:val="center"/>
          </w:tcPr>
          <w:p>
            <w:pPr>
              <w:pStyle w:val="TableContents"/>
              <w:bidi w:val="0"/>
              <w:spacing w:before="0" w:after="1"/>
              <w:ind w:left="0" w:right="60" w:hanging="0"/>
              <w:jc w:val="right"/>
              <w:rPr/>
            </w:pPr>
            <w:r>
              <w:rPr>
                <w:rFonts w:ascii="Times New Roman" w:hAnsi="Times New Roman"/>
                <w:color w:val="000000"/>
                <w:sz w:val="18"/>
              </w:rPr>
              <w:t>23,027</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ind w:left="0" w:right="60" w:hanging="0"/>
              <w:jc w:val="right"/>
              <w:rPr/>
            </w:pPr>
            <w:r>
              <w:rPr>
                <w:rFonts w:ascii="Times New Roman" w:hAnsi="Times New Roman"/>
                <w:color w:val="000000"/>
                <w:sz w:val="18"/>
              </w:rPr>
              <w:t>57,773</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82" w:type="dxa"/>
            <w:tcBorders/>
            <w:vAlign w:val="center"/>
          </w:tcPr>
          <w:p>
            <w:pPr>
              <w:pStyle w:val="TableContents"/>
              <w:bidi w:val="0"/>
              <w:spacing w:before="0" w:after="1"/>
              <w:ind w:left="0" w:right="60" w:hanging="0"/>
              <w:jc w:val="right"/>
              <w:rPr/>
            </w:pPr>
            <w:r>
              <w:rPr>
                <w:rFonts w:ascii="Times New Roman" w:hAnsi="Times New Roman"/>
                <w:color w:val="000000"/>
                <w:sz w:val="18"/>
              </w:rPr>
              <w:t>46,453</w:t>
            </w:r>
            <w:r>
              <w:rPr/>
              <w:t xml:space="preserve"> </w:t>
            </w:r>
          </w:p>
        </w:tc>
      </w:tr>
      <w:tr>
        <w:trPr/>
        <w:tc>
          <w:tcPr>
            <w:tcW w:w="4129"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Noninterest income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jc w:val="right"/>
              <w:rPr/>
            </w:pPr>
            <w:r>
              <w:rPr>
                <w:rFonts w:ascii="Times New Roman" w:hAnsi="Times New Roman"/>
                <w:color w:val="000000"/>
                <w:sz w:val="18"/>
              </w:rPr>
              <w:t>(607)</w:t>
            </w:r>
            <w:r>
              <w:rPr/>
              <w:t xml:space="preserve"> </w:t>
            </w:r>
          </w:p>
        </w:tc>
        <w:tc>
          <w:tcPr>
            <w:tcW w:w="202" w:type="dxa"/>
            <w:tcBorders/>
            <w:vAlign w:val="center"/>
          </w:tcPr>
          <w:p>
            <w:pPr>
              <w:pStyle w:val="TableContents"/>
              <w:bidi w:val="0"/>
              <w:spacing w:before="0" w:after="1"/>
              <w:jc w:val="left"/>
              <w:rPr/>
            </w:pPr>
            <w:r>
              <w:rPr/>
              <w:t xml:space="preserve">  </w:t>
            </w:r>
          </w:p>
        </w:tc>
        <w:tc>
          <w:tcPr>
            <w:tcW w:w="268" w:type="dxa"/>
            <w:tcBorders/>
            <w:vAlign w:val="center"/>
          </w:tcPr>
          <w:p>
            <w:pPr>
              <w:pStyle w:val="TableContents"/>
              <w:bidi w:val="0"/>
              <w:spacing w:before="0" w:after="1"/>
              <w:jc w:val="left"/>
              <w:rPr/>
            </w:pPr>
            <w:r>
              <w:rPr/>
              <w:t xml:space="preserve">  </w:t>
            </w:r>
          </w:p>
        </w:tc>
        <w:tc>
          <w:tcPr>
            <w:tcW w:w="1098" w:type="dxa"/>
            <w:tcBorders/>
            <w:vAlign w:val="center"/>
          </w:tcPr>
          <w:p>
            <w:pPr>
              <w:pStyle w:val="TableContents"/>
              <w:bidi w:val="0"/>
              <w:spacing w:before="0" w:after="1"/>
              <w:ind w:left="0" w:right="60" w:hanging="0"/>
              <w:jc w:val="right"/>
              <w:rPr/>
            </w:pPr>
            <w:r>
              <w:rPr>
                <w:rFonts w:ascii="Times New Roman" w:hAnsi="Times New Roman"/>
                <w:color w:val="000000"/>
                <w:sz w:val="18"/>
              </w:rPr>
              <w:t>7,316</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ind w:left="0" w:right="60" w:hanging="0"/>
              <w:jc w:val="right"/>
              <w:rPr/>
            </w:pPr>
            <w:r>
              <w:rPr>
                <w:rFonts w:ascii="Times New Roman" w:hAnsi="Times New Roman"/>
                <w:color w:val="000000"/>
                <w:sz w:val="18"/>
              </w:rPr>
              <w:t>3,570</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82" w:type="dxa"/>
            <w:tcBorders/>
            <w:vAlign w:val="center"/>
          </w:tcPr>
          <w:p>
            <w:pPr>
              <w:pStyle w:val="TableContents"/>
              <w:bidi w:val="0"/>
              <w:spacing w:before="0" w:after="1"/>
              <w:ind w:left="0" w:right="60" w:hanging="0"/>
              <w:jc w:val="right"/>
              <w:rPr/>
            </w:pPr>
            <w:r>
              <w:rPr>
                <w:rFonts w:ascii="Times New Roman" w:hAnsi="Times New Roman"/>
                <w:color w:val="000000"/>
                <w:sz w:val="18"/>
              </w:rPr>
              <w:t>11,672</w:t>
            </w:r>
            <w:r>
              <w:rPr/>
              <w:t xml:space="preserve"> </w:t>
            </w:r>
          </w:p>
        </w:tc>
      </w:tr>
      <w:tr>
        <w:trPr/>
        <w:tc>
          <w:tcPr>
            <w:tcW w:w="4129"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Noninterest expenses </w:t>
            </w:r>
          </w:p>
        </w:tc>
        <w:tc>
          <w:tcPr>
            <w:tcW w:w="202" w:type="dxa"/>
            <w:tcBorders/>
            <w:vAlign w:val="center"/>
          </w:tcPr>
          <w:p>
            <w:pPr>
              <w:pStyle w:val="TableContents"/>
              <w:bidi w:val="0"/>
              <w:spacing w:before="0" w:after="1"/>
              <w:jc w:val="left"/>
              <w:rPr/>
            </w:pPr>
            <w:r>
              <w:rPr/>
              <w:t xml:space="preserve">  </w:t>
            </w:r>
          </w:p>
        </w:tc>
        <w:tc>
          <w:tcPr>
            <w:tcW w:w="252"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103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17,269</w:t>
            </w:r>
            <w:r>
              <w:rPr/>
              <w:t xml:space="preserve"> </w:t>
            </w:r>
          </w:p>
        </w:tc>
        <w:tc>
          <w:tcPr>
            <w:tcW w:w="202" w:type="dxa"/>
            <w:tcBorders/>
            <w:vAlign w:val="center"/>
          </w:tcPr>
          <w:p>
            <w:pPr>
              <w:pStyle w:val="TableContents"/>
              <w:bidi w:val="0"/>
              <w:spacing w:before="0" w:after="1"/>
              <w:jc w:val="left"/>
              <w:rPr/>
            </w:pPr>
            <w:r>
              <w:rPr/>
              <w:t xml:space="preserve">  </w:t>
            </w:r>
          </w:p>
        </w:tc>
        <w:tc>
          <w:tcPr>
            <w:tcW w:w="268"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1098"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16,754</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103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35,193</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108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33,248</w:t>
            </w:r>
            <w:r>
              <w:rPr/>
              <w:t xml:space="preserve"> </w:t>
            </w:r>
          </w:p>
        </w:tc>
      </w:tr>
      <w:tr>
        <w:trPr/>
        <w:tc>
          <w:tcPr>
            <w:tcW w:w="4129"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Income before income taxes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ind w:left="0" w:right="60" w:hanging="0"/>
              <w:jc w:val="right"/>
              <w:rPr/>
            </w:pPr>
            <w:r>
              <w:rPr>
                <w:rFonts w:ascii="Times New Roman" w:hAnsi="Times New Roman"/>
                <w:color w:val="000000"/>
                <w:sz w:val="18"/>
              </w:rPr>
              <w:t>11,560</w:t>
            </w:r>
            <w:r>
              <w:rPr/>
              <w:t xml:space="preserve"> </w:t>
            </w:r>
          </w:p>
        </w:tc>
        <w:tc>
          <w:tcPr>
            <w:tcW w:w="202" w:type="dxa"/>
            <w:tcBorders/>
            <w:vAlign w:val="center"/>
          </w:tcPr>
          <w:p>
            <w:pPr>
              <w:pStyle w:val="TableContents"/>
              <w:bidi w:val="0"/>
              <w:spacing w:before="0" w:after="1"/>
              <w:jc w:val="left"/>
              <w:rPr/>
            </w:pPr>
            <w:r>
              <w:rPr/>
              <w:t xml:space="preserve">  </w:t>
            </w:r>
          </w:p>
        </w:tc>
        <w:tc>
          <w:tcPr>
            <w:tcW w:w="268" w:type="dxa"/>
            <w:tcBorders/>
            <w:vAlign w:val="center"/>
          </w:tcPr>
          <w:p>
            <w:pPr>
              <w:pStyle w:val="TableContents"/>
              <w:bidi w:val="0"/>
              <w:spacing w:before="0" w:after="1"/>
              <w:jc w:val="left"/>
              <w:rPr/>
            </w:pPr>
            <w:r>
              <w:rPr/>
              <w:t xml:space="preserve">  </w:t>
            </w:r>
          </w:p>
        </w:tc>
        <w:tc>
          <w:tcPr>
            <w:tcW w:w="1098" w:type="dxa"/>
            <w:tcBorders/>
            <w:vAlign w:val="center"/>
          </w:tcPr>
          <w:p>
            <w:pPr>
              <w:pStyle w:val="TableContents"/>
              <w:bidi w:val="0"/>
              <w:spacing w:before="0" w:after="1"/>
              <w:ind w:left="0" w:right="60" w:hanging="0"/>
              <w:jc w:val="right"/>
              <w:rPr/>
            </w:pPr>
            <w:r>
              <w:rPr>
                <w:rFonts w:ascii="Times New Roman" w:hAnsi="Times New Roman"/>
                <w:color w:val="000000"/>
                <w:sz w:val="18"/>
              </w:rPr>
              <w:t>13,589</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ind w:left="0" w:right="60" w:hanging="0"/>
              <w:jc w:val="right"/>
              <w:rPr/>
            </w:pPr>
            <w:r>
              <w:rPr>
                <w:rFonts w:ascii="Times New Roman" w:hAnsi="Times New Roman"/>
                <w:color w:val="000000"/>
                <w:sz w:val="18"/>
              </w:rPr>
              <w:t>26,150</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82" w:type="dxa"/>
            <w:tcBorders/>
            <w:vAlign w:val="center"/>
          </w:tcPr>
          <w:p>
            <w:pPr>
              <w:pStyle w:val="TableContents"/>
              <w:bidi w:val="0"/>
              <w:spacing w:before="0" w:after="1"/>
              <w:ind w:left="0" w:right="60" w:hanging="0"/>
              <w:jc w:val="right"/>
              <w:rPr/>
            </w:pPr>
            <w:r>
              <w:rPr>
                <w:rFonts w:ascii="Times New Roman" w:hAnsi="Times New Roman"/>
                <w:color w:val="000000"/>
                <w:sz w:val="18"/>
              </w:rPr>
              <w:t>24,877</w:t>
            </w:r>
            <w:r>
              <w:rPr/>
              <w:t xml:space="preserve"> </w:t>
            </w:r>
          </w:p>
        </w:tc>
      </w:tr>
      <w:tr>
        <w:trPr/>
        <w:tc>
          <w:tcPr>
            <w:tcW w:w="4129"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Provision (credit) for income taxes </w:t>
            </w:r>
          </w:p>
        </w:tc>
        <w:tc>
          <w:tcPr>
            <w:tcW w:w="202" w:type="dxa"/>
            <w:tcBorders/>
            <w:vAlign w:val="center"/>
          </w:tcPr>
          <w:p>
            <w:pPr>
              <w:pStyle w:val="TableContents"/>
              <w:bidi w:val="0"/>
              <w:spacing w:before="0" w:after="1"/>
              <w:jc w:val="left"/>
              <w:rPr/>
            </w:pPr>
            <w:r>
              <w:rPr/>
              <w:t xml:space="preserve">  </w:t>
            </w:r>
          </w:p>
        </w:tc>
        <w:tc>
          <w:tcPr>
            <w:tcW w:w="252"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1032" w:type="dxa"/>
            <w:tcBorders>
              <w:bottom w:val="single" w:sz="8" w:space="0" w:color="000000"/>
            </w:tcBorders>
            <w:tcMar>
              <w:top w:w="0" w:type="dxa"/>
              <w:left w:w="0" w:type="dxa"/>
              <w:right w:w="0" w:type="dxa"/>
            </w:tcMar>
            <w:vAlign w:val="center"/>
          </w:tcPr>
          <w:p>
            <w:pPr>
              <w:pStyle w:val="TableContents"/>
              <w:bidi w:val="0"/>
              <w:spacing w:before="0" w:after="1"/>
              <w:jc w:val="right"/>
              <w:rPr/>
            </w:pPr>
            <w:r>
              <w:rPr>
                <w:rFonts w:ascii="Times New Roman" w:hAnsi="Times New Roman"/>
                <w:color w:val="000000"/>
                <w:sz w:val="18"/>
              </w:rPr>
              <w:t>(2,099)</w:t>
            </w:r>
            <w:r>
              <w:rPr/>
              <w:t xml:space="preserve"> </w:t>
            </w:r>
          </w:p>
        </w:tc>
        <w:tc>
          <w:tcPr>
            <w:tcW w:w="202" w:type="dxa"/>
            <w:tcBorders/>
            <w:vAlign w:val="center"/>
          </w:tcPr>
          <w:p>
            <w:pPr>
              <w:pStyle w:val="TableContents"/>
              <w:bidi w:val="0"/>
              <w:spacing w:before="0" w:after="1"/>
              <w:jc w:val="left"/>
              <w:rPr/>
            </w:pPr>
            <w:r>
              <w:rPr/>
              <w:t xml:space="preserve">  </w:t>
            </w:r>
          </w:p>
        </w:tc>
        <w:tc>
          <w:tcPr>
            <w:tcW w:w="268"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1098"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3,128</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103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1,207</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1082"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5,712</w:t>
            </w:r>
            <w:r>
              <w:rPr/>
              <w:t xml:space="preserve"> </w:t>
            </w:r>
          </w:p>
        </w:tc>
      </w:tr>
      <w:tr>
        <w:trPr/>
        <w:tc>
          <w:tcPr>
            <w:tcW w:w="4129"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Net income </w:t>
            </w:r>
          </w:p>
        </w:tc>
        <w:tc>
          <w:tcPr>
            <w:tcW w:w="202" w:type="dxa"/>
            <w:tcBorders/>
            <w:vAlign w:val="center"/>
          </w:tcPr>
          <w:p>
            <w:pPr>
              <w:pStyle w:val="TableContents"/>
              <w:bidi w:val="0"/>
              <w:spacing w:before="0" w:after="1"/>
              <w:jc w:val="left"/>
              <w:rPr/>
            </w:pPr>
            <w:r>
              <w:rPr/>
              <w:t xml:space="preserve">  </w:t>
            </w:r>
          </w:p>
        </w:tc>
        <w:tc>
          <w:tcPr>
            <w:tcW w:w="252"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32"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13,659</w:t>
            </w:r>
            <w:r>
              <w:rPr/>
              <w:t xml:space="preserve"> </w:t>
            </w:r>
          </w:p>
        </w:tc>
        <w:tc>
          <w:tcPr>
            <w:tcW w:w="202" w:type="dxa"/>
            <w:tcBorders/>
            <w:vAlign w:val="center"/>
          </w:tcPr>
          <w:p>
            <w:pPr>
              <w:pStyle w:val="TableContents"/>
              <w:bidi w:val="0"/>
              <w:spacing w:before="0" w:after="1"/>
              <w:jc w:val="left"/>
              <w:rPr/>
            </w:pPr>
            <w:r>
              <w:rPr/>
              <w:t xml:space="preserve">  </w:t>
            </w:r>
          </w:p>
        </w:tc>
        <w:tc>
          <w:tcPr>
            <w:tcW w:w="268"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98"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10,461</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32"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24,943</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82"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19,165</w:t>
            </w:r>
            <w:r>
              <w:rPr/>
              <w:t xml:space="preserve"> </w:t>
            </w:r>
          </w:p>
        </w:tc>
      </w:tr>
      <w:tr>
        <w:trPr/>
        <w:tc>
          <w:tcPr>
            <w:tcW w:w="4129" w:type="dxa"/>
            <w:tcBorders/>
            <w:vAlign w:val="center"/>
          </w:tcPr>
          <w:p>
            <w:pPr>
              <w:pStyle w:val="TableContents"/>
              <w:bidi w:val="0"/>
              <w:spacing w:before="0" w:after="1"/>
              <w:jc w:val="left"/>
              <w:rPr/>
            </w:pP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jc w:val="left"/>
              <w:rPr/>
            </w:pPr>
            <w:r>
              <w:rPr/>
              <w:t xml:space="preserve">  </w:t>
            </w:r>
          </w:p>
        </w:tc>
        <w:tc>
          <w:tcPr>
            <w:tcW w:w="202" w:type="dxa"/>
            <w:tcBorders/>
            <w:vAlign w:val="center"/>
          </w:tcPr>
          <w:p>
            <w:pPr>
              <w:pStyle w:val="TableContents"/>
              <w:bidi w:val="0"/>
              <w:spacing w:before="0" w:after="1"/>
              <w:jc w:val="left"/>
              <w:rPr/>
            </w:pPr>
            <w:r>
              <w:rPr/>
              <w:t xml:space="preserve">  </w:t>
            </w:r>
          </w:p>
        </w:tc>
        <w:tc>
          <w:tcPr>
            <w:tcW w:w="268" w:type="dxa"/>
            <w:tcBorders/>
            <w:vAlign w:val="center"/>
          </w:tcPr>
          <w:p>
            <w:pPr>
              <w:pStyle w:val="TableContents"/>
              <w:bidi w:val="0"/>
              <w:spacing w:before="0" w:after="1"/>
              <w:jc w:val="left"/>
              <w:rPr/>
            </w:pPr>
            <w:r>
              <w:rPr/>
              <w:t xml:space="preserve">  </w:t>
            </w:r>
          </w:p>
        </w:tc>
        <w:tc>
          <w:tcPr>
            <w:tcW w:w="1098" w:type="dxa"/>
            <w:tcBorders/>
            <w:vAlign w:val="center"/>
          </w:tcPr>
          <w:p>
            <w:pPr>
              <w:pStyle w:val="TableContents"/>
              <w:bidi w:val="0"/>
              <w:spacing w:before="0" w:after="1"/>
              <w:jc w:val="left"/>
              <w:rPr/>
            </w:pP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jc w:val="left"/>
              <w:rPr/>
            </w:pP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82" w:type="dxa"/>
            <w:tcBorders/>
            <w:vAlign w:val="center"/>
          </w:tcPr>
          <w:p>
            <w:pPr>
              <w:pStyle w:val="TableContents"/>
              <w:bidi w:val="0"/>
              <w:spacing w:before="0" w:after="1"/>
              <w:jc w:val="left"/>
              <w:rPr/>
            </w:pPr>
            <w:r>
              <w:rPr/>
              <w:t xml:space="preserve">  </w:t>
            </w:r>
          </w:p>
        </w:tc>
      </w:tr>
      <w:tr>
        <w:trPr/>
        <w:tc>
          <w:tcPr>
            <w:tcW w:w="4129" w:type="dxa"/>
            <w:tcBorders/>
            <w:vAlign w:val="center"/>
          </w:tcPr>
          <w:p>
            <w:pPr>
              <w:pStyle w:val="TableContents"/>
              <w:bidi w:val="0"/>
              <w:spacing w:before="0" w:after="1"/>
              <w:jc w:val="left"/>
              <w:rPr/>
            </w:pPr>
            <w:r>
              <w:rPr>
                <w:rFonts w:ascii="Times New Roman" w:hAnsi="Times New Roman"/>
                <w:color w:val="000000"/>
                <w:sz w:val="18"/>
              </w:rPr>
              <w:t>Basic and diluted earnings per share</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32" w:type="dxa"/>
            <w:tcBorders/>
            <w:vAlign w:val="center"/>
          </w:tcPr>
          <w:p>
            <w:pPr>
              <w:pStyle w:val="TableContents"/>
              <w:bidi w:val="0"/>
              <w:spacing w:before="0" w:after="1"/>
              <w:ind w:left="0" w:right="60" w:hanging="0"/>
              <w:jc w:val="right"/>
              <w:rPr/>
            </w:pPr>
            <w:r>
              <w:rPr>
                <w:rFonts w:ascii="Times New Roman" w:hAnsi="Times New Roman"/>
                <w:color w:val="000000"/>
                <w:sz w:val="18"/>
              </w:rPr>
              <w:t>1.02</w:t>
            </w:r>
            <w:r>
              <w:rPr/>
              <w:t xml:space="preserve"> </w:t>
            </w:r>
          </w:p>
        </w:tc>
        <w:tc>
          <w:tcPr>
            <w:tcW w:w="202" w:type="dxa"/>
            <w:tcBorders/>
            <w:vAlign w:val="center"/>
          </w:tcPr>
          <w:p>
            <w:pPr>
              <w:pStyle w:val="TableContents"/>
              <w:bidi w:val="0"/>
              <w:spacing w:before="0" w:after="1"/>
              <w:jc w:val="left"/>
              <w:rPr/>
            </w:pPr>
            <w:r>
              <w:rPr/>
              <w:t xml:space="preserve">  </w:t>
            </w:r>
          </w:p>
        </w:tc>
        <w:tc>
          <w:tcPr>
            <w:tcW w:w="268"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98" w:type="dxa"/>
            <w:tcBorders/>
            <w:vAlign w:val="center"/>
          </w:tcPr>
          <w:p>
            <w:pPr>
              <w:pStyle w:val="TableContents"/>
              <w:bidi w:val="0"/>
              <w:spacing w:before="0" w:after="1"/>
              <w:ind w:left="0" w:right="60" w:hanging="0"/>
              <w:jc w:val="right"/>
              <w:rPr/>
            </w:pPr>
            <w:r>
              <w:rPr>
                <w:rFonts w:ascii="Times New Roman" w:hAnsi="Times New Roman"/>
                <w:color w:val="000000"/>
                <w:sz w:val="18"/>
              </w:rPr>
              <w:t>0.87</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32" w:type="dxa"/>
            <w:tcBorders/>
            <w:vAlign w:val="center"/>
          </w:tcPr>
          <w:p>
            <w:pPr>
              <w:pStyle w:val="TableContents"/>
              <w:bidi w:val="0"/>
              <w:spacing w:before="0" w:after="1"/>
              <w:ind w:left="0" w:right="60" w:hanging="0"/>
              <w:jc w:val="right"/>
              <w:rPr/>
            </w:pPr>
            <w:r>
              <w:rPr>
                <w:rFonts w:ascii="Times New Roman" w:hAnsi="Times New Roman"/>
                <w:color w:val="000000"/>
                <w:sz w:val="18"/>
              </w:rPr>
              <w:t>1.87</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82" w:type="dxa"/>
            <w:tcBorders/>
            <w:vAlign w:val="center"/>
          </w:tcPr>
          <w:p>
            <w:pPr>
              <w:pStyle w:val="TableContents"/>
              <w:bidi w:val="0"/>
              <w:spacing w:before="0" w:after="1"/>
              <w:ind w:left="0" w:right="60" w:hanging="0"/>
              <w:jc w:val="right"/>
              <w:rPr/>
            </w:pPr>
            <w:r>
              <w:rPr>
                <w:rFonts w:ascii="Times New Roman" w:hAnsi="Times New Roman"/>
                <w:color w:val="000000"/>
                <w:sz w:val="18"/>
              </w:rPr>
              <w:t>1.64</w:t>
            </w:r>
            <w:r>
              <w:rPr/>
              <w:t xml:space="preserve"> </w:t>
            </w:r>
          </w:p>
        </w:tc>
      </w:tr>
      <w:tr>
        <w:trPr/>
        <w:tc>
          <w:tcPr>
            <w:tcW w:w="4129" w:type="dxa"/>
            <w:tcBorders/>
            <w:vAlign w:val="center"/>
          </w:tcPr>
          <w:p>
            <w:pPr>
              <w:pStyle w:val="TableContents"/>
              <w:bidi w:val="0"/>
              <w:spacing w:before="0" w:after="1"/>
              <w:jc w:val="left"/>
              <w:rPr/>
            </w:pPr>
            <w:r>
              <w:rPr>
                <w:rFonts w:ascii="Times New Roman" w:hAnsi="Times New Roman"/>
                <w:color w:val="000000"/>
                <w:sz w:val="18"/>
              </w:rPr>
              <w:t>Weighted average common shares outstanding</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ind w:left="0" w:right="60" w:hanging="0"/>
              <w:jc w:val="right"/>
              <w:rPr/>
            </w:pPr>
            <w:r>
              <w:rPr>
                <w:rFonts w:ascii="Times New Roman" w:hAnsi="Times New Roman"/>
                <w:color w:val="000000"/>
                <w:sz w:val="18"/>
              </w:rPr>
              <w:t>13,381,376</w:t>
            </w:r>
            <w:r>
              <w:rPr/>
              <w:t xml:space="preserve"> </w:t>
            </w:r>
          </w:p>
        </w:tc>
        <w:tc>
          <w:tcPr>
            <w:tcW w:w="202" w:type="dxa"/>
            <w:tcBorders/>
            <w:vAlign w:val="center"/>
          </w:tcPr>
          <w:p>
            <w:pPr>
              <w:pStyle w:val="TableContents"/>
              <w:bidi w:val="0"/>
              <w:spacing w:before="0" w:after="1"/>
              <w:jc w:val="left"/>
              <w:rPr/>
            </w:pPr>
            <w:r>
              <w:rPr/>
              <w:t xml:space="preserve">  </w:t>
            </w:r>
          </w:p>
        </w:tc>
        <w:tc>
          <w:tcPr>
            <w:tcW w:w="268" w:type="dxa"/>
            <w:tcBorders/>
            <w:vAlign w:val="center"/>
          </w:tcPr>
          <w:p>
            <w:pPr>
              <w:pStyle w:val="TableContents"/>
              <w:bidi w:val="0"/>
              <w:spacing w:before="0" w:after="1"/>
              <w:jc w:val="left"/>
              <w:rPr/>
            </w:pPr>
            <w:r>
              <w:rPr/>
              <w:t xml:space="preserve">  </w:t>
            </w:r>
          </w:p>
        </w:tc>
        <w:tc>
          <w:tcPr>
            <w:tcW w:w="1098" w:type="dxa"/>
            <w:tcBorders/>
            <w:vAlign w:val="center"/>
          </w:tcPr>
          <w:p>
            <w:pPr>
              <w:pStyle w:val="TableContents"/>
              <w:bidi w:val="0"/>
              <w:spacing w:before="0" w:after="1"/>
              <w:ind w:left="0" w:right="60" w:hanging="0"/>
              <w:jc w:val="right"/>
              <w:rPr/>
            </w:pPr>
            <w:r>
              <w:rPr>
                <w:rFonts w:ascii="Times New Roman" w:hAnsi="Times New Roman"/>
                <w:color w:val="000000"/>
                <w:sz w:val="18"/>
              </w:rPr>
              <w:t>11,994,815</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ind w:left="0" w:right="60" w:hanging="0"/>
              <w:jc w:val="right"/>
              <w:rPr/>
            </w:pPr>
            <w:r>
              <w:rPr>
                <w:rFonts w:ascii="Times New Roman" w:hAnsi="Times New Roman"/>
                <w:color w:val="000000"/>
                <w:sz w:val="18"/>
              </w:rPr>
              <w:t>13,366,712</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82" w:type="dxa"/>
            <w:tcBorders/>
            <w:vAlign w:val="center"/>
          </w:tcPr>
          <w:p>
            <w:pPr>
              <w:pStyle w:val="TableContents"/>
              <w:bidi w:val="0"/>
              <w:spacing w:before="0" w:after="1"/>
              <w:ind w:left="0" w:right="60" w:hanging="0"/>
              <w:jc w:val="right"/>
              <w:rPr/>
            </w:pPr>
            <w:r>
              <w:rPr>
                <w:rFonts w:ascii="Times New Roman" w:hAnsi="Times New Roman"/>
                <w:color w:val="000000"/>
                <w:sz w:val="18"/>
              </w:rPr>
              <w:t>11,665,181</w:t>
            </w:r>
            <w:r>
              <w:rPr/>
              <w:t xml:space="preserve"> </w:t>
            </w:r>
          </w:p>
        </w:tc>
      </w:tr>
      <w:tr>
        <w:trPr/>
        <w:tc>
          <w:tcPr>
            <w:tcW w:w="4129" w:type="dxa"/>
            <w:tcBorders/>
            <w:vAlign w:val="center"/>
          </w:tcPr>
          <w:p>
            <w:pPr>
              <w:pStyle w:val="TableContents"/>
              <w:bidi w:val="0"/>
              <w:spacing w:before="0" w:after="1"/>
              <w:jc w:val="left"/>
              <w:rPr/>
            </w:pP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jc w:val="left"/>
              <w:rPr/>
            </w:pPr>
            <w:r>
              <w:rPr/>
              <w:t xml:space="preserve">  </w:t>
            </w:r>
          </w:p>
        </w:tc>
        <w:tc>
          <w:tcPr>
            <w:tcW w:w="202" w:type="dxa"/>
            <w:tcBorders/>
            <w:vAlign w:val="center"/>
          </w:tcPr>
          <w:p>
            <w:pPr>
              <w:pStyle w:val="TableContents"/>
              <w:bidi w:val="0"/>
              <w:spacing w:before="0" w:after="1"/>
              <w:jc w:val="left"/>
              <w:rPr/>
            </w:pPr>
            <w:r>
              <w:rPr/>
              <w:t xml:space="preserve">  </w:t>
            </w:r>
          </w:p>
        </w:tc>
        <w:tc>
          <w:tcPr>
            <w:tcW w:w="268" w:type="dxa"/>
            <w:tcBorders/>
            <w:vAlign w:val="center"/>
          </w:tcPr>
          <w:p>
            <w:pPr>
              <w:pStyle w:val="TableContents"/>
              <w:bidi w:val="0"/>
              <w:spacing w:before="0" w:after="1"/>
              <w:jc w:val="left"/>
              <w:rPr/>
            </w:pPr>
            <w:r>
              <w:rPr/>
              <w:t xml:space="preserve">  </w:t>
            </w:r>
          </w:p>
        </w:tc>
        <w:tc>
          <w:tcPr>
            <w:tcW w:w="1098" w:type="dxa"/>
            <w:tcBorders/>
            <w:vAlign w:val="center"/>
          </w:tcPr>
          <w:p>
            <w:pPr>
              <w:pStyle w:val="TableContents"/>
              <w:bidi w:val="0"/>
              <w:spacing w:before="0" w:after="1"/>
              <w:jc w:val="left"/>
              <w:rPr/>
            </w:pP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jc w:val="left"/>
              <w:rPr/>
            </w:pP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82" w:type="dxa"/>
            <w:tcBorders/>
            <w:vAlign w:val="center"/>
          </w:tcPr>
          <w:p>
            <w:pPr>
              <w:pStyle w:val="TableContents"/>
              <w:bidi w:val="0"/>
              <w:spacing w:before="0" w:after="1"/>
              <w:jc w:val="left"/>
              <w:rPr/>
            </w:pPr>
            <w:r>
              <w:rPr/>
              <w:t xml:space="preserve">  </w:t>
            </w:r>
          </w:p>
        </w:tc>
      </w:tr>
      <w:tr>
        <w:trPr/>
        <w:tc>
          <w:tcPr>
            <w:tcW w:w="4129" w:type="dxa"/>
            <w:tcBorders/>
            <w:vAlign w:val="center"/>
          </w:tcPr>
          <w:p>
            <w:pPr>
              <w:pStyle w:val="TableContents"/>
              <w:bidi w:val="0"/>
              <w:spacing w:before="0" w:after="1"/>
              <w:jc w:val="left"/>
              <w:rPr/>
            </w:pP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jc w:val="center"/>
              <w:rPr/>
            </w:pPr>
            <w:r>
              <w:rPr/>
              <w:t xml:space="preserve">  </w:t>
            </w:r>
          </w:p>
        </w:tc>
        <w:tc>
          <w:tcPr>
            <w:tcW w:w="202" w:type="dxa"/>
            <w:tcBorders/>
            <w:vAlign w:val="center"/>
          </w:tcPr>
          <w:p>
            <w:pPr>
              <w:pStyle w:val="TableContents"/>
              <w:bidi w:val="0"/>
              <w:spacing w:before="0" w:after="1"/>
              <w:jc w:val="left"/>
              <w:rPr/>
            </w:pPr>
            <w:r>
              <w:rPr/>
              <w:t xml:space="preserve">  </w:t>
            </w:r>
          </w:p>
        </w:tc>
        <w:tc>
          <w:tcPr>
            <w:tcW w:w="268" w:type="dxa"/>
            <w:tcBorders/>
            <w:vAlign w:val="center"/>
          </w:tcPr>
          <w:p>
            <w:pPr>
              <w:pStyle w:val="TableContents"/>
              <w:bidi w:val="0"/>
              <w:spacing w:before="0" w:after="1"/>
              <w:jc w:val="left"/>
              <w:rPr/>
            </w:pPr>
            <w:r>
              <w:rPr/>
              <w:t xml:space="preserve">  </w:t>
            </w:r>
          </w:p>
        </w:tc>
        <w:tc>
          <w:tcPr>
            <w:tcW w:w="1098" w:type="dxa"/>
            <w:tcBorders/>
            <w:vAlign w:val="center"/>
          </w:tcPr>
          <w:p>
            <w:pPr>
              <w:pStyle w:val="TableContents"/>
              <w:bidi w:val="0"/>
              <w:spacing w:before="0" w:after="1"/>
              <w:jc w:val="center"/>
              <w:rPr/>
            </w:pPr>
            <w:r>
              <w:rPr/>
              <w:t xml:space="preserve">  </w:t>
            </w:r>
          </w:p>
        </w:tc>
        <w:tc>
          <w:tcPr>
            <w:tcW w:w="202" w:type="dxa"/>
            <w:tcBorders/>
            <w:vAlign w:val="center"/>
          </w:tcPr>
          <w:p>
            <w:pPr>
              <w:pStyle w:val="TableContents"/>
              <w:bidi w:val="0"/>
              <w:spacing w:before="0" w:after="1"/>
              <w:jc w:val="center"/>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jc w:val="left"/>
              <w:rPr/>
            </w:pP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82" w:type="dxa"/>
            <w:tcBorders/>
            <w:vAlign w:val="center"/>
          </w:tcPr>
          <w:p>
            <w:pPr>
              <w:pStyle w:val="TableContents"/>
              <w:bidi w:val="0"/>
              <w:spacing w:before="0" w:after="1"/>
              <w:jc w:val="left"/>
              <w:rPr/>
            </w:pPr>
            <w:r>
              <w:rPr/>
              <w:t xml:space="preserve">  </w:t>
            </w:r>
          </w:p>
        </w:tc>
      </w:tr>
      <w:tr>
        <w:trPr/>
        <w:tc>
          <w:tcPr>
            <w:tcW w:w="4129" w:type="dxa"/>
            <w:tcBorders/>
            <w:vAlign w:val="center"/>
          </w:tcPr>
          <w:p>
            <w:pPr>
              <w:pStyle w:val="TableContents"/>
              <w:bidi w:val="0"/>
              <w:spacing w:before="0" w:after="1"/>
              <w:jc w:val="left"/>
              <w:rPr/>
            </w:pPr>
            <w:r>
              <w:rPr/>
              <w:t xml:space="preserve">  </w:t>
            </w:r>
          </w:p>
        </w:tc>
        <w:tc>
          <w:tcPr>
            <w:tcW w:w="202" w:type="dxa"/>
            <w:tcBorders/>
            <w:vAlign w:val="center"/>
          </w:tcPr>
          <w:p>
            <w:pPr>
              <w:pStyle w:val="TableContents"/>
              <w:bidi w:val="0"/>
              <w:spacing w:before="0" w:after="1"/>
              <w:jc w:val="left"/>
              <w:rPr/>
            </w:pPr>
            <w:r>
              <w:rPr/>
              <w:t xml:space="preserve">  </w:t>
            </w:r>
          </w:p>
        </w:tc>
        <w:tc>
          <w:tcPr>
            <w:tcW w:w="1284"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At June 30,</w:t>
            </w:r>
            <w:r>
              <w:rPr/>
              <w:t xml:space="preserve"> </w:t>
            </w:r>
          </w:p>
        </w:tc>
        <w:tc>
          <w:tcPr>
            <w:tcW w:w="202" w:type="dxa"/>
            <w:tcBorders/>
            <w:vAlign w:val="center"/>
          </w:tcPr>
          <w:p>
            <w:pPr>
              <w:pStyle w:val="TableContents"/>
              <w:bidi w:val="0"/>
              <w:spacing w:before="0" w:after="1"/>
              <w:jc w:val="left"/>
              <w:rPr/>
            </w:pPr>
            <w:r>
              <w:rPr/>
              <w:t xml:space="preserve">  </w:t>
            </w:r>
          </w:p>
        </w:tc>
        <w:tc>
          <w:tcPr>
            <w:tcW w:w="1366"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At December 31,</w:t>
            </w:r>
            <w:r>
              <w:rPr/>
              <w:t xml:space="preserve"> </w:t>
            </w:r>
          </w:p>
        </w:tc>
        <w:tc>
          <w:tcPr>
            <w:tcW w:w="202" w:type="dxa"/>
            <w:tcBorders/>
            <w:vAlign w:val="center"/>
          </w:tcPr>
          <w:p>
            <w:pPr>
              <w:pStyle w:val="TableContents"/>
              <w:bidi w:val="0"/>
              <w:spacing w:before="0" w:after="1"/>
              <w:jc w:val="center"/>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jc w:val="left"/>
              <w:rPr/>
            </w:pP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82" w:type="dxa"/>
            <w:tcBorders/>
            <w:vAlign w:val="center"/>
          </w:tcPr>
          <w:p>
            <w:pPr>
              <w:pStyle w:val="TableContents"/>
              <w:bidi w:val="0"/>
              <w:spacing w:before="0" w:after="1"/>
              <w:jc w:val="left"/>
              <w:rPr/>
            </w:pPr>
            <w:r>
              <w:rPr/>
              <w:t xml:space="preserve">  </w:t>
            </w:r>
          </w:p>
        </w:tc>
      </w:tr>
      <w:tr>
        <w:trPr/>
        <w:tc>
          <w:tcPr>
            <w:tcW w:w="4129" w:type="dxa"/>
            <w:tcBorders/>
            <w:vAlign w:val="center"/>
          </w:tcPr>
          <w:p>
            <w:pPr>
              <w:pStyle w:val="TableContents"/>
              <w:bidi w:val="0"/>
              <w:spacing w:before="0" w:after="1"/>
              <w:jc w:val="left"/>
              <w:rPr/>
            </w:pPr>
            <w:r>
              <w:rPr/>
              <w:t xml:space="preserve">  </w:t>
            </w:r>
          </w:p>
        </w:tc>
        <w:tc>
          <w:tcPr>
            <w:tcW w:w="202" w:type="dxa"/>
            <w:tcBorders/>
            <w:vAlign w:val="center"/>
          </w:tcPr>
          <w:p>
            <w:pPr>
              <w:pStyle w:val="TableContents"/>
              <w:bidi w:val="0"/>
              <w:spacing w:before="0" w:after="1"/>
              <w:jc w:val="left"/>
              <w:rPr/>
            </w:pPr>
            <w:r>
              <w:rPr/>
              <w:t xml:space="preserve">  </w:t>
            </w:r>
          </w:p>
        </w:tc>
        <w:tc>
          <w:tcPr>
            <w:tcW w:w="1284"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2026</w:t>
            </w:r>
            <w:r>
              <w:rPr/>
              <w:t xml:space="preserve"> </w:t>
            </w:r>
          </w:p>
        </w:tc>
        <w:tc>
          <w:tcPr>
            <w:tcW w:w="202" w:type="dxa"/>
            <w:tcBorders/>
            <w:vAlign w:val="center"/>
          </w:tcPr>
          <w:p>
            <w:pPr>
              <w:pStyle w:val="TableContents"/>
              <w:bidi w:val="0"/>
              <w:spacing w:before="0" w:after="1"/>
              <w:jc w:val="left"/>
              <w:rPr/>
            </w:pPr>
            <w:r>
              <w:rPr/>
              <w:t xml:space="preserve">  </w:t>
            </w:r>
          </w:p>
        </w:tc>
        <w:tc>
          <w:tcPr>
            <w:tcW w:w="1366"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2025</w:t>
            </w:r>
            <w:r>
              <w:rPr/>
              <w:t xml:space="preserve"> </w:t>
            </w:r>
          </w:p>
        </w:tc>
        <w:tc>
          <w:tcPr>
            <w:tcW w:w="202" w:type="dxa"/>
            <w:tcBorders/>
            <w:vAlign w:val="center"/>
          </w:tcPr>
          <w:p>
            <w:pPr>
              <w:pStyle w:val="TableContents"/>
              <w:bidi w:val="0"/>
              <w:spacing w:before="0" w:after="1"/>
              <w:jc w:val="center"/>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jc w:val="left"/>
              <w:rPr/>
            </w:pP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82" w:type="dxa"/>
            <w:tcBorders/>
            <w:vAlign w:val="center"/>
          </w:tcPr>
          <w:p>
            <w:pPr>
              <w:pStyle w:val="TableContents"/>
              <w:bidi w:val="0"/>
              <w:spacing w:before="0" w:after="1"/>
              <w:jc w:val="left"/>
              <w:rPr/>
            </w:pPr>
            <w:r>
              <w:rPr/>
              <w:t xml:space="preserve">  </w:t>
            </w:r>
          </w:p>
        </w:tc>
      </w:tr>
      <w:tr>
        <w:trPr/>
        <w:tc>
          <w:tcPr>
            <w:tcW w:w="4129"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Book value per share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32" w:type="dxa"/>
            <w:tcBorders/>
            <w:vAlign w:val="center"/>
          </w:tcPr>
          <w:p>
            <w:pPr>
              <w:pStyle w:val="TableContents"/>
              <w:bidi w:val="0"/>
              <w:spacing w:before="0" w:after="1"/>
              <w:ind w:left="0" w:right="60" w:hanging="0"/>
              <w:jc w:val="right"/>
              <w:rPr/>
            </w:pPr>
            <w:r>
              <w:rPr>
                <w:rFonts w:ascii="Times New Roman" w:hAnsi="Times New Roman"/>
                <w:color w:val="000000"/>
                <w:sz w:val="18"/>
              </w:rPr>
              <w:t>22.87</w:t>
            </w:r>
            <w:r>
              <w:rPr/>
              <w:t xml:space="preserve"> </w:t>
            </w:r>
          </w:p>
        </w:tc>
        <w:tc>
          <w:tcPr>
            <w:tcW w:w="202" w:type="dxa"/>
            <w:tcBorders/>
            <w:vAlign w:val="center"/>
          </w:tcPr>
          <w:p>
            <w:pPr>
              <w:pStyle w:val="TableContents"/>
              <w:bidi w:val="0"/>
              <w:spacing w:before="0" w:after="1"/>
              <w:jc w:val="left"/>
              <w:rPr/>
            </w:pPr>
            <w:r>
              <w:rPr/>
              <w:t xml:space="preserve">  </w:t>
            </w:r>
          </w:p>
        </w:tc>
        <w:tc>
          <w:tcPr>
            <w:tcW w:w="268"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98" w:type="dxa"/>
            <w:tcBorders/>
            <w:vAlign w:val="center"/>
          </w:tcPr>
          <w:p>
            <w:pPr>
              <w:pStyle w:val="TableContents"/>
              <w:bidi w:val="0"/>
              <w:spacing w:before="0" w:after="1"/>
              <w:ind w:left="0" w:right="60" w:hanging="0"/>
              <w:jc w:val="right"/>
              <w:rPr/>
            </w:pPr>
            <w:r>
              <w:rPr>
                <w:rFonts w:ascii="Times New Roman" w:hAnsi="Times New Roman"/>
                <w:color w:val="000000"/>
                <w:sz w:val="18"/>
              </w:rPr>
              <w:t>21.27</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jc w:val="left"/>
              <w:rPr/>
            </w:pP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82" w:type="dxa"/>
            <w:tcBorders/>
            <w:vAlign w:val="center"/>
          </w:tcPr>
          <w:p>
            <w:pPr>
              <w:pStyle w:val="TableContents"/>
              <w:bidi w:val="0"/>
              <w:spacing w:before="0" w:after="1"/>
              <w:jc w:val="left"/>
              <w:rPr/>
            </w:pPr>
            <w:r>
              <w:rPr/>
              <w:t xml:space="preserve">  </w:t>
            </w:r>
          </w:p>
        </w:tc>
      </w:tr>
      <w:tr>
        <w:trPr/>
        <w:tc>
          <w:tcPr>
            <w:tcW w:w="4129" w:type="dxa"/>
            <w:tcBorders/>
            <w:vAlign w:val="center"/>
          </w:tcPr>
          <w:p>
            <w:pPr>
              <w:pStyle w:val="TableContents"/>
              <w:bidi w:val="0"/>
              <w:spacing w:before="0" w:after="1"/>
              <w:jc w:val="left"/>
              <w:rPr/>
            </w:pPr>
            <w:r>
              <w:rPr>
                <w:rFonts w:ascii="Times New Roman" w:hAnsi="Times New Roman"/>
                <w:color w:val="000000"/>
                <w:sz w:val="18"/>
              </w:rPr>
              <w:t xml:space="preserve">Net tangible book value per share </w:t>
            </w:r>
            <w:r>
              <w:rPr>
                <w:rFonts w:ascii="Times New Roman" w:hAnsi="Times New Roman"/>
                <w:color w:val="000000"/>
                <w:sz w:val="12"/>
              </w:rPr>
              <w:t>(1)</w:t>
            </w:r>
            <w:r>
              <w:rPr>
                <w:color w:val="000000"/>
              </w:rPr>
              <w:t> </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32" w:type="dxa"/>
            <w:tcBorders/>
            <w:vAlign w:val="center"/>
          </w:tcPr>
          <w:p>
            <w:pPr>
              <w:pStyle w:val="TableContents"/>
              <w:bidi w:val="0"/>
              <w:spacing w:before="0" w:after="1"/>
              <w:ind w:left="0" w:right="60" w:hanging="0"/>
              <w:jc w:val="right"/>
              <w:rPr/>
            </w:pPr>
            <w:r>
              <w:rPr>
                <w:rFonts w:ascii="Times New Roman" w:hAnsi="Times New Roman"/>
                <w:color w:val="000000"/>
                <w:sz w:val="18"/>
              </w:rPr>
              <w:t>22.44</w:t>
            </w:r>
            <w:r>
              <w:rPr/>
              <w:t xml:space="preserve"> </w:t>
            </w:r>
          </w:p>
        </w:tc>
        <w:tc>
          <w:tcPr>
            <w:tcW w:w="202" w:type="dxa"/>
            <w:tcBorders/>
            <w:vAlign w:val="center"/>
          </w:tcPr>
          <w:p>
            <w:pPr>
              <w:pStyle w:val="TableContents"/>
              <w:bidi w:val="0"/>
              <w:spacing w:before="0" w:after="1"/>
              <w:jc w:val="left"/>
              <w:rPr/>
            </w:pPr>
            <w:r>
              <w:rPr/>
              <w:t xml:space="preserve">  </w:t>
            </w:r>
          </w:p>
        </w:tc>
        <w:tc>
          <w:tcPr>
            <w:tcW w:w="268"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1098" w:type="dxa"/>
            <w:tcBorders/>
            <w:vAlign w:val="center"/>
          </w:tcPr>
          <w:p>
            <w:pPr>
              <w:pStyle w:val="TableContents"/>
              <w:bidi w:val="0"/>
              <w:spacing w:before="0" w:after="1"/>
              <w:ind w:left="0" w:right="60" w:hanging="0"/>
              <w:jc w:val="right"/>
              <w:rPr/>
            </w:pPr>
            <w:r>
              <w:rPr>
                <w:rFonts w:ascii="Times New Roman" w:hAnsi="Times New Roman"/>
                <w:color w:val="000000"/>
                <w:sz w:val="18"/>
              </w:rPr>
              <w:t>20.83</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jc w:val="left"/>
              <w:rPr/>
            </w:pP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82" w:type="dxa"/>
            <w:tcBorders/>
            <w:vAlign w:val="center"/>
          </w:tcPr>
          <w:p>
            <w:pPr>
              <w:pStyle w:val="TableContents"/>
              <w:bidi w:val="0"/>
              <w:spacing w:before="0" w:after="1"/>
              <w:jc w:val="left"/>
              <w:rPr/>
            </w:pPr>
            <w:r>
              <w:rPr/>
              <w:t xml:space="preserve">  </w:t>
            </w:r>
          </w:p>
        </w:tc>
      </w:tr>
      <w:tr>
        <w:trPr/>
        <w:tc>
          <w:tcPr>
            <w:tcW w:w="4129" w:type="dxa"/>
            <w:tcBorders/>
            <w:vAlign w:val="center"/>
          </w:tcPr>
          <w:p>
            <w:pPr>
              <w:pStyle w:val="TableContents"/>
              <w:bidi w:val="0"/>
              <w:spacing w:before="0" w:after="1"/>
              <w:jc w:val="left"/>
              <w:rPr/>
            </w:pPr>
            <w:r>
              <w:rPr>
                <w:rFonts w:ascii="Times New Roman" w:hAnsi="Times New Roman"/>
                <w:color w:val="000000"/>
                <w:sz w:val="18"/>
              </w:rPr>
              <w:t>Outstanding common shares</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ind w:left="0" w:right="60" w:hanging="0"/>
              <w:jc w:val="right"/>
              <w:rPr/>
            </w:pPr>
            <w:r>
              <w:rPr>
                <w:rFonts w:ascii="Times New Roman" w:hAnsi="Times New Roman"/>
                <w:color w:val="000000"/>
                <w:sz w:val="18"/>
              </w:rPr>
              <w:t>13,407,904</w:t>
            </w:r>
            <w:r>
              <w:rPr/>
              <w:t xml:space="preserve"> </w:t>
            </w:r>
          </w:p>
        </w:tc>
        <w:tc>
          <w:tcPr>
            <w:tcW w:w="202" w:type="dxa"/>
            <w:tcBorders/>
            <w:vAlign w:val="center"/>
          </w:tcPr>
          <w:p>
            <w:pPr>
              <w:pStyle w:val="TableContents"/>
              <w:bidi w:val="0"/>
              <w:spacing w:before="0" w:after="1"/>
              <w:jc w:val="left"/>
              <w:rPr/>
            </w:pPr>
            <w:r>
              <w:rPr/>
              <w:t xml:space="preserve">  </w:t>
            </w:r>
          </w:p>
        </w:tc>
        <w:tc>
          <w:tcPr>
            <w:tcW w:w="268" w:type="dxa"/>
            <w:tcBorders/>
            <w:vAlign w:val="center"/>
          </w:tcPr>
          <w:p>
            <w:pPr>
              <w:pStyle w:val="TableContents"/>
              <w:bidi w:val="0"/>
              <w:spacing w:before="0" w:after="1"/>
              <w:jc w:val="left"/>
              <w:rPr/>
            </w:pPr>
            <w:r>
              <w:rPr/>
              <w:t xml:space="preserve">  </w:t>
            </w:r>
          </w:p>
        </w:tc>
        <w:tc>
          <w:tcPr>
            <w:tcW w:w="1098" w:type="dxa"/>
            <w:tcBorders/>
            <w:vAlign w:val="center"/>
          </w:tcPr>
          <w:p>
            <w:pPr>
              <w:pStyle w:val="TableContents"/>
              <w:bidi w:val="0"/>
              <w:spacing w:before="0" w:after="1"/>
              <w:ind w:left="0" w:right="60" w:hanging="0"/>
              <w:jc w:val="right"/>
              <w:rPr/>
            </w:pPr>
            <w:r>
              <w:rPr>
                <w:rFonts w:ascii="Times New Roman" w:hAnsi="Times New Roman"/>
                <w:color w:val="000000"/>
                <w:sz w:val="18"/>
              </w:rPr>
              <w:t>13,368,447</w:t>
            </w: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32" w:type="dxa"/>
            <w:tcBorders/>
            <w:vAlign w:val="center"/>
          </w:tcPr>
          <w:p>
            <w:pPr>
              <w:pStyle w:val="TableContents"/>
              <w:bidi w:val="0"/>
              <w:spacing w:before="0" w:after="1"/>
              <w:jc w:val="left"/>
              <w:rPr/>
            </w:pPr>
            <w:r>
              <w:rPr/>
              <w:t xml:space="preserve">  </w:t>
            </w:r>
          </w:p>
        </w:tc>
        <w:tc>
          <w:tcPr>
            <w:tcW w:w="202" w:type="dxa"/>
            <w:tcBorders/>
            <w:vAlign w:val="center"/>
          </w:tcPr>
          <w:p>
            <w:pPr>
              <w:pStyle w:val="TableContents"/>
              <w:bidi w:val="0"/>
              <w:spacing w:before="0" w:after="1"/>
              <w:jc w:val="left"/>
              <w:rPr/>
            </w:pPr>
            <w:r>
              <w:rPr/>
              <w:t xml:space="preserve">  </w:t>
            </w:r>
          </w:p>
        </w:tc>
        <w:tc>
          <w:tcPr>
            <w:tcW w:w="252" w:type="dxa"/>
            <w:tcBorders/>
            <w:vAlign w:val="center"/>
          </w:tcPr>
          <w:p>
            <w:pPr>
              <w:pStyle w:val="TableContents"/>
              <w:bidi w:val="0"/>
              <w:spacing w:before="0" w:after="1"/>
              <w:jc w:val="left"/>
              <w:rPr/>
            </w:pPr>
            <w:r>
              <w:rPr/>
              <w:t xml:space="preserve">  </w:t>
            </w:r>
          </w:p>
        </w:tc>
        <w:tc>
          <w:tcPr>
            <w:tcW w:w="1082" w:type="dxa"/>
            <w:tcBorders/>
            <w:vAlign w:val="center"/>
          </w:tcPr>
          <w:p>
            <w:pPr>
              <w:pStyle w:val="TableContents"/>
              <w:bidi w:val="0"/>
              <w:spacing w:before="0" w:after="1"/>
              <w:jc w:val="left"/>
              <w:rPr/>
            </w:pPr>
            <w:r>
              <w:rPr/>
              <w:t xml:space="preserve">  </w:t>
            </w:r>
          </w:p>
        </w:tc>
      </w:tr>
    </w:tbl>
    <w:p>
      <w:pPr>
        <w:pStyle w:val="TextBody"/>
        <w:bidi w:val="0"/>
        <w:spacing w:before="0" w:after="0"/>
        <w:jc w:val="center"/>
        <w:rPr/>
      </w:pPr>
      <w:r>
        <w:rPr/>
        <w:t xml:space="preserve">  </w:t>
      </w:r>
    </w:p>
    <w:p>
      <w:pPr>
        <w:pStyle w:val="TextBody"/>
        <w:bidi w:val="0"/>
        <w:spacing w:before="0" w:after="0"/>
        <w:jc w:val="center"/>
        <w:rPr/>
      </w:pPr>
      <w:r>
        <w:rPr/>
        <w:t xml:space="preserve">  </w:t>
      </w:r>
    </w:p>
    <w:p>
      <w:pPr>
        <w:pStyle w:val="TextBody"/>
        <w:bidi w:val="0"/>
        <w:spacing w:before="0" w:after="0"/>
        <w:ind w:left="576" w:right="0" w:hanging="0"/>
        <w:jc w:val="left"/>
        <w:rPr/>
      </w:pPr>
      <w:r>
        <w:rPr>
          <w:rFonts w:ascii="Times New Roman" w:hAnsi="Times New Roman"/>
          <w:sz w:val="16"/>
          <w:u w:val="single"/>
        </w:rPr>
        <w:t>Notes:</w:t>
      </w:r>
      <w:r>
        <w:rPr/>
        <w:t xml:space="preserve"> </w:t>
      </w:r>
    </w:p>
    <w:p>
      <w:pPr>
        <w:pStyle w:val="TextBody"/>
        <w:bidi w:val="0"/>
        <w:spacing w:before="0" w:after="0"/>
        <w:ind w:left="576" w:right="0" w:hanging="0"/>
        <w:jc w:val="both"/>
        <w:rPr/>
      </w:pPr>
      <w:r>
        <w:rPr>
          <w:rFonts w:ascii="Times New Roman" w:hAnsi="Times New Roman"/>
          <w:sz w:val="10"/>
        </w:rPr>
        <w:t>(1)</w:t>
      </w:r>
      <w:r>
        <w:rPr/>
        <w:t> </w:t>
      </w:r>
      <w:r>
        <w:rPr>
          <w:rFonts w:ascii="Times New Roman" w:hAnsi="Times New Roman"/>
          <w:sz w:val="16"/>
        </w:rPr>
        <w:t>Net tangible book value represents the amount of total tangible assets reduced by our total liabilities. Tangible assets are calculated by reducing total assets, as defined by GAAP, by $5.4 million in goodwill for June 30, 2026 and December 31, 2025, respectively, and $393 thousand, and $535 thousand in other intangible assets for June 30, 2026 and December 31, 2025, respectively.</w:t>
      </w: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rFonts w:ascii="Times New Roman" w:hAnsi="Times New Roman"/>
          <w:b/>
          <w:sz w:val="20"/>
        </w:rPr>
        <w:t>ORANGE COUNTY BANCORP, INC.</w:t>
      </w:r>
      <w:r>
        <w:rPr/>
        <w:t xml:space="preserve"> </w:t>
      </w:r>
    </w:p>
    <w:p>
      <w:pPr>
        <w:pStyle w:val="TextBody"/>
        <w:bidi w:val="0"/>
        <w:spacing w:before="0" w:after="0"/>
        <w:jc w:val="center"/>
        <w:rPr/>
      </w:pPr>
      <w:r>
        <w:rPr>
          <w:rFonts w:ascii="Times New Roman" w:hAnsi="Times New Roman"/>
          <w:b/>
          <w:sz w:val="20"/>
        </w:rPr>
        <w:t>SELECTED OPERATING DATA</w:t>
      </w:r>
      <w:r>
        <w:rPr/>
        <w:t xml:space="preserve"> </w:t>
      </w:r>
    </w:p>
    <w:p>
      <w:pPr>
        <w:pStyle w:val="TextBody"/>
        <w:bidi w:val="0"/>
        <w:spacing w:before="0" w:after="0"/>
        <w:jc w:val="center"/>
        <w:rPr/>
      </w:pPr>
      <w:r>
        <w:rPr>
          <w:rFonts w:ascii="Times New Roman" w:hAnsi="Times New Roman"/>
          <w:b/>
          <w:sz w:val="20"/>
        </w:rPr>
        <w:t>(UNAUDITED)</w:t>
      </w:r>
      <w:r>
        <w:rPr/>
        <w:t xml:space="preserve"> </w:t>
      </w:r>
    </w:p>
    <w:p>
      <w:pPr>
        <w:pStyle w:val="TextBody"/>
        <w:bidi w:val="0"/>
        <w:spacing w:before="0" w:after="0"/>
        <w:jc w:val="center"/>
        <w:rPr/>
      </w:pPr>
      <w:r>
        <w:rPr>
          <w:rFonts w:ascii="Times New Roman" w:hAnsi="Times New Roman"/>
          <w:sz w:val="16"/>
        </w:rPr>
        <w:t>(Dollar amounts in thousands)</w:t>
      </w:r>
      <w:r>
        <w:rPr/>
        <w:t xml:space="preserve"> </w:t>
      </w:r>
    </w:p>
    <w:p>
      <w:pPr>
        <w:pStyle w:val="TextBody"/>
        <w:bidi w:val="0"/>
        <w:spacing w:before="0" w:after="0"/>
        <w:jc w:val="center"/>
        <w:rPr/>
      </w:pPr>
      <w:r>
        <w:rPr/>
        <w:t xml:space="preserve">  </w:t>
      </w:r>
    </w:p>
    <w:p>
      <w:pPr>
        <w:pStyle w:val="TextBody"/>
        <w:bidi w:val="0"/>
        <w:spacing w:before="0" w:after="0"/>
        <w:jc w:val="center"/>
        <w:rPr/>
      </w:pPr>
      <w:r>
        <w:rPr/>
        <w:t xml:space="preserve">  </w:t>
      </w:r>
    </w:p>
    <w:p>
      <w:pPr>
        <w:pStyle w:val="TextBody"/>
        <w:bidi w:val="0"/>
        <w:spacing w:before="0" w:after="60"/>
        <w:ind w:left="432" w:right="0" w:hanging="0"/>
        <w:jc w:val="both"/>
        <w:rPr/>
      </w:pPr>
      <w:r>
        <w:rPr>
          <w:rFonts w:ascii="Times New Roman" w:hAnsi="Times New Roman"/>
          <w:sz w:val="18"/>
        </w:rPr>
        <w:t>The following table presents loan composition for the periods indicated.</w:t>
      </w:r>
      <w:r>
        <w:rPr/>
        <w:t xml:space="preserve"> </w:t>
      </w:r>
    </w:p>
    <w:tbl>
      <w:tblPr>
        <w:tblW w:w="7701" w:type="dxa"/>
        <w:jc w:val="left"/>
        <w:tblInd w:w="0" w:type="dxa"/>
        <w:tblLayout w:type="fixed"/>
        <w:tblCellMar>
          <w:top w:w="28" w:type="dxa"/>
          <w:left w:w="28" w:type="dxa"/>
          <w:bottom w:w="28" w:type="dxa"/>
          <w:right w:w="28" w:type="dxa"/>
        </w:tblCellMar>
      </w:tblPr>
      <w:tblGrid>
        <w:gridCol w:w="2686"/>
        <w:gridCol w:w="206"/>
        <w:gridCol w:w="256"/>
        <w:gridCol w:w="946"/>
        <w:gridCol w:w="206"/>
        <w:gridCol w:w="871"/>
        <w:gridCol w:w="206"/>
        <w:gridCol w:w="256"/>
        <w:gridCol w:w="946"/>
        <w:gridCol w:w="206"/>
        <w:gridCol w:w="916"/>
      </w:tblGrid>
      <w:tr>
        <w:trPr/>
        <w:tc>
          <w:tcPr>
            <w:tcW w:w="2686"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946"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946"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916" w:type="dxa"/>
            <w:tcBorders/>
            <w:vAlign w:val="center"/>
          </w:tcPr>
          <w:p>
            <w:pPr>
              <w:pStyle w:val="TableContents"/>
              <w:bidi w:val="0"/>
              <w:spacing w:before="0" w:after="1"/>
              <w:jc w:val="left"/>
              <w:rPr/>
            </w:pPr>
            <w:r>
              <w:rPr/>
              <w:t xml:space="preserve">  </w:t>
            </w:r>
          </w:p>
        </w:tc>
      </w:tr>
      <w:tr>
        <w:trPr/>
        <w:tc>
          <w:tcPr>
            <w:tcW w:w="2686"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2279" w:type="dxa"/>
            <w:gridSpan w:val="4"/>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At June 30, 2026</w:t>
            </w:r>
            <w:r>
              <w:rPr/>
              <w:t xml:space="preserve"> </w:t>
            </w:r>
          </w:p>
        </w:tc>
        <w:tc>
          <w:tcPr>
            <w:tcW w:w="206" w:type="dxa"/>
            <w:tcBorders/>
            <w:vAlign w:val="center"/>
          </w:tcPr>
          <w:p>
            <w:pPr>
              <w:pStyle w:val="TableContents"/>
              <w:bidi w:val="0"/>
              <w:spacing w:before="0" w:after="1"/>
              <w:jc w:val="left"/>
              <w:rPr/>
            </w:pPr>
            <w:r>
              <w:rPr/>
              <w:t xml:space="preserve">  </w:t>
            </w:r>
          </w:p>
        </w:tc>
        <w:tc>
          <w:tcPr>
            <w:tcW w:w="2324" w:type="dxa"/>
            <w:gridSpan w:val="4"/>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At December 31, 2025</w:t>
            </w:r>
            <w:r>
              <w:rPr/>
              <w:t xml:space="preserve"> </w:t>
            </w:r>
          </w:p>
        </w:tc>
      </w:tr>
      <w:tr>
        <w:trPr/>
        <w:tc>
          <w:tcPr>
            <w:tcW w:w="2686" w:type="dxa"/>
            <w:tcBorders/>
            <w:vAlign w:val="center"/>
          </w:tcPr>
          <w:p>
            <w:pPr>
              <w:pStyle w:val="TableContents"/>
              <w:bidi w:val="0"/>
              <w:spacing w:before="0" w:after="1"/>
              <w:jc w:val="center"/>
              <w:rPr/>
            </w:pPr>
            <w:r>
              <w:rPr/>
              <w:t xml:space="preserve">  </w:t>
            </w:r>
          </w:p>
        </w:tc>
        <w:tc>
          <w:tcPr>
            <w:tcW w:w="206" w:type="dxa"/>
            <w:tcBorders/>
            <w:vAlign w:val="center"/>
          </w:tcPr>
          <w:p>
            <w:pPr>
              <w:pStyle w:val="TableContents"/>
              <w:bidi w:val="0"/>
              <w:spacing w:before="0" w:after="1"/>
              <w:jc w:val="center"/>
              <w:rPr/>
            </w:pPr>
            <w:r>
              <w:rPr/>
              <w:t xml:space="preserve">  </w:t>
            </w:r>
          </w:p>
        </w:tc>
        <w:tc>
          <w:tcPr>
            <w:tcW w:w="1202"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Amount</w:t>
            </w:r>
            <w:r>
              <w:rPr/>
              <w:t xml:space="preserve"> </w:t>
            </w:r>
          </w:p>
        </w:tc>
        <w:tc>
          <w:tcPr>
            <w:tcW w:w="206" w:type="dxa"/>
            <w:tcBorders/>
            <w:vAlign w:val="center"/>
          </w:tcPr>
          <w:p>
            <w:pPr>
              <w:pStyle w:val="TableContents"/>
              <w:bidi w:val="0"/>
              <w:spacing w:before="0" w:after="1"/>
              <w:jc w:val="center"/>
              <w:rPr/>
            </w:pPr>
            <w:r>
              <w:rPr/>
              <w:t xml:space="preserve">  </w:t>
            </w:r>
          </w:p>
        </w:tc>
        <w:tc>
          <w:tcPr>
            <w:tcW w:w="871" w:type="dxa"/>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Percent</w:t>
            </w:r>
            <w:r>
              <w:rPr/>
              <w:t xml:space="preserve"> </w:t>
            </w:r>
          </w:p>
        </w:tc>
        <w:tc>
          <w:tcPr>
            <w:tcW w:w="206" w:type="dxa"/>
            <w:tcBorders/>
            <w:vAlign w:val="center"/>
          </w:tcPr>
          <w:p>
            <w:pPr>
              <w:pStyle w:val="TableContents"/>
              <w:bidi w:val="0"/>
              <w:spacing w:before="0" w:after="1"/>
              <w:jc w:val="center"/>
              <w:rPr/>
            </w:pPr>
            <w:r>
              <w:rPr/>
              <w:t xml:space="preserve">  </w:t>
            </w:r>
          </w:p>
        </w:tc>
        <w:tc>
          <w:tcPr>
            <w:tcW w:w="1202"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Amount</w:t>
            </w:r>
            <w:r>
              <w:rPr/>
              <w:t xml:space="preserve"> </w:t>
            </w:r>
          </w:p>
        </w:tc>
        <w:tc>
          <w:tcPr>
            <w:tcW w:w="206" w:type="dxa"/>
            <w:tcBorders/>
            <w:vAlign w:val="center"/>
          </w:tcPr>
          <w:p>
            <w:pPr>
              <w:pStyle w:val="TableContents"/>
              <w:bidi w:val="0"/>
              <w:spacing w:before="0" w:after="1"/>
              <w:jc w:val="center"/>
              <w:rPr/>
            </w:pPr>
            <w:r>
              <w:rPr/>
              <w:t xml:space="preserve">  </w:t>
            </w:r>
          </w:p>
        </w:tc>
        <w:tc>
          <w:tcPr>
            <w:tcW w:w="916" w:type="dxa"/>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Percent</w:t>
            </w:r>
            <w:r>
              <w:rPr/>
              <w:t xml:space="preserve"> </w:t>
            </w:r>
          </w:p>
        </w:tc>
      </w:tr>
      <w:tr>
        <w:trPr/>
        <w:tc>
          <w:tcPr>
            <w:tcW w:w="2686" w:type="dxa"/>
            <w:tcBorders/>
            <w:vAlign w:val="center"/>
          </w:tcPr>
          <w:p>
            <w:pPr>
              <w:pStyle w:val="TableContents"/>
              <w:bidi w:val="0"/>
              <w:spacing w:before="0" w:after="1"/>
              <w:jc w:val="left"/>
              <w:rPr/>
            </w:pPr>
            <w:r>
              <w:rPr>
                <w:rFonts w:ascii="Times New Roman" w:hAnsi="Times New Roman"/>
                <w:color w:val="000000"/>
                <w:sz w:val="18"/>
              </w:rPr>
              <w:t>Commercial and industrial</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46" w:type="dxa"/>
            <w:tcBorders/>
            <w:vAlign w:val="center"/>
          </w:tcPr>
          <w:p>
            <w:pPr>
              <w:pStyle w:val="TableContents"/>
              <w:bidi w:val="0"/>
              <w:spacing w:before="0" w:after="1"/>
              <w:ind w:left="0" w:right="60" w:hanging="0"/>
              <w:jc w:val="right"/>
              <w:rPr/>
            </w:pPr>
            <w:r>
              <w:rPr>
                <w:rFonts w:ascii="Times New Roman" w:hAnsi="Times New Roman"/>
                <w:color w:val="000000"/>
                <w:sz w:val="18"/>
              </w:rPr>
              <w:t>239,463</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12.53%</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46" w:type="dxa"/>
            <w:tcBorders/>
            <w:vAlign w:val="center"/>
          </w:tcPr>
          <w:p>
            <w:pPr>
              <w:pStyle w:val="TableContents"/>
              <w:bidi w:val="0"/>
              <w:spacing w:before="0" w:after="1"/>
              <w:ind w:left="0" w:right="60" w:hanging="0"/>
              <w:jc w:val="right"/>
              <w:rPr/>
            </w:pPr>
            <w:r>
              <w:rPr>
                <w:rFonts w:ascii="Times New Roman" w:hAnsi="Times New Roman"/>
                <w:color w:val="000000"/>
                <w:sz w:val="18"/>
              </w:rPr>
              <w:t>249,633</w:t>
            </w:r>
            <w:r>
              <w:rPr/>
              <w:t xml:space="preserve"> </w:t>
            </w:r>
          </w:p>
        </w:tc>
        <w:tc>
          <w:tcPr>
            <w:tcW w:w="206" w:type="dxa"/>
            <w:tcBorders/>
            <w:vAlign w:val="center"/>
          </w:tcPr>
          <w:p>
            <w:pPr>
              <w:pStyle w:val="TableContents"/>
              <w:bidi w:val="0"/>
              <w:spacing w:before="0" w:after="1"/>
              <w:jc w:val="left"/>
              <w:rPr/>
            </w:pPr>
            <w:r>
              <w:rPr/>
              <w:t xml:space="preserve">  </w:t>
            </w:r>
          </w:p>
        </w:tc>
        <w:tc>
          <w:tcPr>
            <w:tcW w:w="916" w:type="dxa"/>
            <w:tcBorders/>
            <w:vAlign w:val="center"/>
          </w:tcPr>
          <w:p>
            <w:pPr>
              <w:pStyle w:val="TableContents"/>
              <w:bidi w:val="0"/>
              <w:spacing w:before="0" w:after="1"/>
              <w:ind w:left="0" w:right="60" w:hanging="0"/>
              <w:jc w:val="right"/>
              <w:rPr/>
            </w:pPr>
            <w:r>
              <w:rPr>
                <w:rFonts w:ascii="Times New Roman" w:hAnsi="Times New Roman"/>
                <w:color w:val="000000"/>
                <w:sz w:val="18"/>
              </w:rPr>
              <w:t>12.80%</w:t>
            </w:r>
            <w:r>
              <w:rPr/>
              <w:t xml:space="preserve"> </w:t>
            </w:r>
          </w:p>
        </w:tc>
      </w:tr>
      <w:tr>
        <w:trPr/>
        <w:tc>
          <w:tcPr>
            <w:tcW w:w="2686" w:type="dxa"/>
            <w:tcBorders/>
            <w:vAlign w:val="center"/>
          </w:tcPr>
          <w:p>
            <w:pPr>
              <w:pStyle w:val="TableContents"/>
              <w:bidi w:val="0"/>
              <w:spacing w:before="0" w:after="1"/>
              <w:jc w:val="left"/>
              <w:rPr/>
            </w:pPr>
            <w:r>
              <w:rPr>
                <w:rFonts w:ascii="Times New Roman" w:hAnsi="Times New Roman"/>
                <w:color w:val="000000"/>
                <w:sz w:val="18"/>
              </w:rPr>
              <w:t>Commercial real estate</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946" w:type="dxa"/>
            <w:tcBorders/>
            <w:vAlign w:val="center"/>
          </w:tcPr>
          <w:p>
            <w:pPr>
              <w:pStyle w:val="TableContents"/>
              <w:bidi w:val="0"/>
              <w:spacing w:before="0" w:after="1"/>
              <w:ind w:left="0" w:right="60" w:hanging="0"/>
              <w:jc w:val="right"/>
              <w:rPr/>
            </w:pPr>
            <w:r>
              <w:rPr>
                <w:rFonts w:ascii="Times New Roman" w:hAnsi="Times New Roman"/>
                <w:color w:val="000000"/>
                <w:sz w:val="18"/>
              </w:rPr>
              <w:t>1,506,536</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78.86%</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946" w:type="dxa"/>
            <w:tcBorders/>
            <w:vAlign w:val="center"/>
          </w:tcPr>
          <w:p>
            <w:pPr>
              <w:pStyle w:val="TableContents"/>
              <w:bidi w:val="0"/>
              <w:spacing w:before="0" w:after="1"/>
              <w:ind w:left="0" w:right="60" w:hanging="0"/>
              <w:jc w:val="right"/>
              <w:rPr/>
            </w:pPr>
            <w:r>
              <w:rPr>
                <w:rFonts w:ascii="Times New Roman" w:hAnsi="Times New Roman"/>
                <w:color w:val="000000"/>
                <w:sz w:val="18"/>
              </w:rPr>
              <w:t>1,480,062</w:t>
            </w:r>
            <w:r>
              <w:rPr/>
              <w:t xml:space="preserve"> </w:t>
            </w:r>
          </w:p>
        </w:tc>
        <w:tc>
          <w:tcPr>
            <w:tcW w:w="206" w:type="dxa"/>
            <w:tcBorders/>
            <w:vAlign w:val="center"/>
          </w:tcPr>
          <w:p>
            <w:pPr>
              <w:pStyle w:val="TableContents"/>
              <w:bidi w:val="0"/>
              <w:spacing w:before="0" w:after="1"/>
              <w:jc w:val="left"/>
              <w:rPr/>
            </w:pPr>
            <w:r>
              <w:rPr/>
              <w:t xml:space="preserve">  </w:t>
            </w:r>
          </w:p>
        </w:tc>
        <w:tc>
          <w:tcPr>
            <w:tcW w:w="916" w:type="dxa"/>
            <w:tcBorders/>
            <w:vAlign w:val="center"/>
          </w:tcPr>
          <w:p>
            <w:pPr>
              <w:pStyle w:val="TableContents"/>
              <w:bidi w:val="0"/>
              <w:spacing w:before="0" w:after="1"/>
              <w:ind w:left="0" w:right="60" w:hanging="0"/>
              <w:jc w:val="right"/>
              <w:rPr/>
            </w:pPr>
            <w:r>
              <w:rPr>
                <w:rFonts w:ascii="Times New Roman" w:hAnsi="Times New Roman"/>
                <w:color w:val="000000"/>
                <w:sz w:val="18"/>
              </w:rPr>
              <w:t>75.89%</w:t>
            </w:r>
            <w:r>
              <w:rPr/>
              <w:t xml:space="preserve"> </w:t>
            </w:r>
          </w:p>
        </w:tc>
      </w:tr>
      <w:tr>
        <w:trPr/>
        <w:tc>
          <w:tcPr>
            <w:tcW w:w="2686" w:type="dxa"/>
            <w:tcBorders/>
            <w:vAlign w:val="center"/>
          </w:tcPr>
          <w:p>
            <w:pPr>
              <w:pStyle w:val="TableContents"/>
              <w:bidi w:val="0"/>
              <w:spacing w:before="0" w:after="1"/>
              <w:jc w:val="left"/>
              <w:rPr/>
            </w:pPr>
            <w:r>
              <w:rPr>
                <w:rFonts w:ascii="Times New Roman" w:hAnsi="Times New Roman"/>
                <w:color w:val="000000"/>
                <w:sz w:val="18"/>
              </w:rPr>
              <w:t>Commercial real estate construction</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946" w:type="dxa"/>
            <w:tcBorders/>
            <w:vAlign w:val="center"/>
          </w:tcPr>
          <w:p>
            <w:pPr>
              <w:pStyle w:val="TableContents"/>
              <w:bidi w:val="0"/>
              <w:spacing w:before="0" w:after="1"/>
              <w:ind w:left="0" w:right="60" w:hanging="0"/>
              <w:jc w:val="right"/>
              <w:rPr/>
            </w:pPr>
            <w:r>
              <w:rPr>
                <w:rFonts w:ascii="Times New Roman" w:hAnsi="Times New Roman"/>
                <w:color w:val="000000"/>
                <w:sz w:val="18"/>
              </w:rPr>
              <w:t>99,594</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5.22%</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946" w:type="dxa"/>
            <w:tcBorders/>
            <w:vAlign w:val="center"/>
          </w:tcPr>
          <w:p>
            <w:pPr>
              <w:pStyle w:val="TableContents"/>
              <w:bidi w:val="0"/>
              <w:spacing w:before="0" w:after="1"/>
              <w:ind w:left="0" w:right="60" w:hanging="0"/>
              <w:jc w:val="right"/>
              <w:rPr/>
            </w:pPr>
            <w:r>
              <w:rPr>
                <w:rFonts w:ascii="Times New Roman" w:hAnsi="Times New Roman"/>
                <w:color w:val="000000"/>
                <w:sz w:val="18"/>
              </w:rPr>
              <w:t>99,262</w:t>
            </w:r>
            <w:r>
              <w:rPr/>
              <w:t xml:space="preserve"> </w:t>
            </w:r>
          </w:p>
        </w:tc>
        <w:tc>
          <w:tcPr>
            <w:tcW w:w="206" w:type="dxa"/>
            <w:tcBorders/>
            <w:vAlign w:val="center"/>
          </w:tcPr>
          <w:p>
            <w:pPr>
              <w:pStyle w:val="TableContents"/>
              <w:bidi w:val="0"/>
              <w:spacing w:before="0" w:after="1"/>
              <w:jc w:val="left"/>
              <w:rPr/>
            </w:pPr>
            <w:r>
              <w:rPr/>
              <w:t xml:space="preserve">  </w:t>
            </w:r>
          </w:p>
        </w:tc>
        <w:tc>
          <w:tcPr>
            <w:tcW w:w="916" w:type="dxa"/>
            <w:tcBorders/>
            <w:vAlign w:val="center"/>
          </w:tcPr>
          <w:p>
            <w:pPr>
              <w:pStyle w:val="TableContents"/>
              <w:bidi w:val="0"/>
              <w:spacing w:before="0" w:after="1"/>
              <w:ind w:left="0" w:right="60" w:hanging="0"/>
              <w:jc w:val="right"/>
              <w:rPr/>
            </w:pPr>
            <w:r>
              <w:rPr>
                <w:rFonts w:ascii="Times New Roman" w:hAnsi="Times New Roman"/>
                <w:color w:val="000000"/>
                <w:sz w:val="18"/>
              </w:rPr>
              <w:t>5.09%</w:t>
            </w:r>
            <w:r>
              <w:rPr/>
              <w:t xml:space="preserve"> </w:t>
            </w:r>
          </w:p>
        </w:tc>
      </w:tr>
      <w:tr>
        <w:trPr/>
        <w:tc>
          <w:tcPr>
            <w:tcW w:w="2686" w:type="dxa"/>
            <w:tcBorders/>
            <w:vAlign w:val="center"/>
          </w:tcPr>
          <w:p>
            <w:pPr>
              <w:pStyle w:val="TableContents"/>
              <w:bidi w:val="0"/>
              <w:spacing w:before="0" w:after="1"/>
              <w:jc w:val="left"/>
              <w:rPr/>
            </w:pPr>
            <w:r>
              <w:rPr>
                <w:rFonts w:ascii="Times New Roman" w:hAnsi="Times New Roman"/>
                <w:color w:val="000000"/>
                <w:sz w:val="18"/>
              </w:rPr>
              <w:t>Residential real estate</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946" w:type="dxa"/>
            <w:tcBorders/>
            <w:vAlign w:val="center"/>
          </w:tcPr>
          <w:p>
            <w:pPr>
              <w:pStyle w:val="TableContents"/>
              <w:bidi w:val="0"/>
              <w:spacing w:before="0" w:after="1"/>
              <w:ind w:left="0" w:right="60" w:hanging="0"/>
              <w:jc w:val="right"/>
              <w:rPr/>
            </w:pPr>
            <w:r>
              <w:rPr>
                <w:rFonts w:ascii="Times New Roman" w:hAnsi="Times New Roman"/>
                <w:color w:val="000000"/>
                <w:sz w:val="18"/>
              </w:rPr>
              <w:t>21,432</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1.12%</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946" w:type="dxa"/>
            <w:tcBorders/>
            <w:vAlign w:val="center"/>
          </w:tcPr>
          <w:p>
            <w:pPr>
              <w:pStyle w:val="TableContents"/>
              <w:bidi w:val="0"/>
              <w:spacing w:before="0" w:after="1"/>
              <w:ind w:left="0" w:right="60" w:hanging="0"/>
              <w:jc w:val="right"/>
              <w:rPr/>
            </w:pPr>
            <w:r>
              <w:rPr>
                <w:rFonts w:ascii="Times New Roman" w:hAnsi="Times New Roman"/>
                <w:color w:val="000000"/>
                <w:sz w:val="18"/>
              </w:rPr>
              <w:t>65,290</w:t>
            </w:r>
            <w:r>
              <w:rPr/>
              <w:t xml:space="preserve"> </w:t>
            </w:r>
          </w:p>
        </w:tc>
        <w:tc>
          <w:tcPr>
            <w:tcW w:w="206" w:type="dxa"/>
            <w:tcBorders/>
            <w:vAlign w:val="center"/>
          </w:tcPr>
          <w:p>
            <w:pPr>
              <w:pStyle w:val="TableContents"/>
              <w:bidi w:val="0"/>
              <w:spacing w:before="0" w:after="1"/>
              <w:jc w:val="left"/>
              <w:rPr/>
            </w:pPr>
            <w:r>
              <w:rPr/>
              <w:t xml:space="preserve">  </w:t>
            </w:r>
          </w:p>
        </w:tc>
        <w:tc>
          <w:tcPr>
            <w:tcW w:w="916" w:type="dxa"/>
            <w:tcBorders/>
            <w:vAlign w:val="center"/>
          </w:tcPr>
          <w:p>
            <w:pPr>
              <w:pStyle w:val="TableContents"/>
              <w:bidi w:val="0"/>
              <w:spacing w:before="0" w:after="1"/>
              <w:ind w:left="0" w:right="60" w:hanging="0"/>
              <w:jc w:val="right"/>
              <w:rPr/>
            </w:pPr>
            <w:r>
              <w:rPr>
                <w:rFonts w:ascii="Times New Roman" w:hAnsi="Times New Roman"/>
                <w:color w:val="000000"/>
                <w:sz w:val="18"/>
              </w:rPr>
              <w:t>3.35%</w:t>
            </w:r>
            <w:r>
              <w:rPr/>
              <w:t xml:space="preserve"> </w:t>
            </w:r>
          </w:p>
        </w:tc>
      </w:tr>
      <w:tr>
        <w:trPr/>
        <w:tc>
          <w:tcPr>
            <w:tcW w:w="2686" w:type="dxa"/>
            <w:tcBorders/>
            <w:vAlign w:val="center"/>
          </w:tcPr>
          <w:p>
            <w:pPr>
              <w:pStyle w:val="TableContents"/>
              <w:bidi w:val="0"/>
              <w:spacing w:before="0" w:after="1"/>
              <w:jc w:val="left"/>
              <w:rPr/>
            </w:pPr>
            <w:r>
              <w:rPr>
                <w:rFonts w:ascii="Times New Roman" w:hAnsi="Times New Roman"/>
                <w:color w:val="000000"/>
                <w:sz w:val="18"/>
              </w:rPr>
              <w:t>Home equity</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946" w:type="dxa"/>
            <w:tcBorders/>
            <w:vAlign w:val="center"/>
          </w:tcPr>
          <w:p>
            <w:pPr>
              <w:pStyle w:val="TableContents"/>
              <w:bidi w:val="0"/>
              <w:spacing w:before="0" w:after="1"/>
              <w:ind w:left="0" w:right="60" w:hanging="0"/>
              <w:jc w:val="right"/>
              <w:rPr/>
            </w:pPr>
            <w:r>
              <w:rPr>
                <w:rFonts w:ascii="Times New Roman" w:hAnsi="Times New Roman"/>
                <w:color w:val="000000"/>
                <w:sz w:val="18"/>
              </w:rPr>
              <w:t>7,009</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0.37%</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946" w:type="dxa"/>
            <w:tcBorders/>
            <w:vAlign w:val="center"/>
          </w:tcPr>
          <w:p>
            <w:pPr>
              <w:pStyle w:val="TableContents"/>
              <w:bidi w:val="0"/>
              <w:spacing w:before="0" w:after="1"/>
              <w:ind w:left="0" w:right="60" w:hanging="0"/>
              <w:jc w:val="right"/>
              <w:rPr/>
            </w:pPr>
            <w:r>
              <w:rPr>
                <w:rFonts w:ascii="Times New Roman" w:hAnsi="Times New Roman"/>
                <w:color w:val="000000"/>
                <w:sz w:val="18"/>
              </w:rPr>
              <w:t>22,618</w:t>
            </w:r>
            <w:r>
              <w:rPr/>
              <w:t xml:space="preserve"> </w:t>
            </w:r>
          </w:p>
        </w:tc>
        <w:tc>
          <w:tcPr>
            <w:tcW w:w="206" w:type="dxa"/>
            <w:tcBorders/>
            <w:vAlign w:val="center"/>
          </w:tcPr>
          <w:p>
            <w:pPr>
              <w:pStyle w:val="TableContents"/>
              <w:bidi w:val="0"/>
              <w:spacing w:before="0" w:after="1"/>
              <w:jc w:val="left"/>
              <w:rPr/>
            </w:pPr>
            <w:r>
              <w:rPr/>
              <w:t xml:space="preserve">  </w:t>
            </w:r>
          </w:p>
        </w:tc>
        <w:tc>
          <w:tcPr>
            <w:tcW w:w="916" w:type="dxa"/>
            <w:tcBorders/>
            <w:vAlign w:val="center"/>
          </w:tcPr>
          <w:p>
            <w:pPr>
              <w:pStyle w:val="TableContents"/>
              <w:bidi w:val="0"/>
              <w:spacing w:before="0" w:after="1"/>
              <w:ind w:left="0" w:right="60" w:hanging="0"/>
              <w:jc w:val="right"/>
              <w:rPr/>
            </w:pPr>
            <w:r>
              <w:rPr>
                <w:rFonts w:ascii="Times New Roman" w:hAnsi="Times New Roman"/>
                <w:color w:val="000000"/>
                <w:sz w:val="18"/>
              </w:rPr>
              <w:t>1.16%</w:t>
            </w:r>
            <w:r>
              <w:rPr/>
              <w:t xml:space="preserve"> </w:t>
            </w:r>
          </w:p>
        </w:tc>
      </w:tr>
      <w:tr>
        <w:trPr/>
        <w:tc>
          <w:tcPr>
            <w:tcW w:w="2686" w:type="dxa"/>
            <w:tcBorders/>
            <w:vAlign w:val="center"/>
          </w:tcPr>
          <w:p>
            <w:pPr>
              <w:pStyle w:val="TableContents"/>
              <w:bidi w:val="0"/>
              <w:spacing w:before="0" w:after="1"/>
              <w:jc w:val="left"/>
              <w:rPr/>
            </w:pPr>
            <w:r>
              <w:rPr>
                <w:rFonts w:ascii="Times New Roman" w:hAnsi="Times New Roman"/>
                <w:color w:val="000000"/>
                <w:sz w:val="18"/>
              </w:rPr>
              <w:t>Consumer</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94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36,228</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1.90%</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94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33,419</w:t>
            </w:r>
            <w:r>
              <w:rPr/>
              <w:t xml:space="preserve"> </w:t>
            </w:r>
          </w:p>
        </w:tc>
        <w:tc>
          <w:tcPr>
            <w:tcW w:w="206" w:type="dxa"/>
            <w:tcBorders/>
            <w:vAlign w:val="center"/>
          </w:tcPr>
          <w:p>
            <w:pPr>
              <w:pStyle w:val="TableContents"/>
              <w:bidi w:val="0"/>
              <w:spacing w:before="0" w:after="1"/>
              <w:jc w:val="left"/>
              <w:rPr/>
            </w:pPr>
            <w:r>
              <w:rPr/>
              <w:t xml:space="preserve">  </w:t>
            </w:r>
          </w:p>
        </w:tc>
        <w:tc>
          <w:tcPr>
            <w:tcW w:w="91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1.71%</w:t>
            </w:r>
            <w:r>
              <w:rPr/>
              <w:t xml:space="preserve"> </w:t>
            </w:r>
          </w:p>
        </w:tc>
      </w:tr>
      <w:tr>
        <w:trPr/>
        <w:tc>
          <w:tcPr>
            <w:tcW w:w="2686" w:type="dxa"/>
            <w:tcBorders/>
            <w:vAlign w:val="center"/>
          </w:tcPr>
          <w:p>
            <w:pPr>
              <w:pStyle w:val="TableContents"/>
              <w:bidi w:val="0"/>
              <w:spacing w:before="0" w:after="1"/>
              <w:jc w:val="left"/>
              <w:rPr/>
            </w:pPr>
            <w:r>
              <w:rPr>
                <w:rFonts w:ascii="Times New Roman" w:hAnsi="Times New Roman"/>
                <w:color w:val="000000"/>
                <w:sz w:val="18"/>
              </w:rPr>
              <w:t>Total loans</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946" w:type="dxa"/>
            <w:tcBorders/>
            <w:vAlign w:val="center"/>
          </w:tcPr>
          <w:p>
            <w:pPr>
              <w:pStyle w:val="TableContents"/>
              <w:bidi w:val="0"/>
              <w:spacing w:before="0" w:after="1"/>
              <w:ind w:left="0" w:right="60" w:hanging="0"/>
              <w:jc w:val="right"/>
              <w:rPr/>
            </w:pPr>
            <w:r>
              <w:rPr>
                <w:rFonts w:ascii="Times New Roman" w:hAnsi="Times New Roman"/>
                <w:color w:val="000000"/>
                <w:sz w:val="18"/>
              </w:rPr>
              <w:t>1,910,262</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100.00%</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946" w:type="dxa"/>
            <w:tcBorders/>
            <w:vAlign w:val="center"/>
          </w:tcPr>
          <w:p>
            <w:pPr>
              <w:pStyle w:val="TableContents"/>
              <w:bidi w:val="0"/>
              <w:spacing w:before="0" w:after="1"/>
              <w:ind w:left="0" w:right="60" w:hanging="0"/>
              <w:jc w:val="right"/>
              <w:rPr/>
            </w:pPr>
            <w:r>
              <w:rPr>
                <w:rFonts w:ascii="Times New Roman" w:hAnsi="Times New Roman"/>
                <w:color w:val="000000"/>
                <w:sz w:val="18"/>
              </w:rPr>
              <w:t>1,950,284</w:t>
            </w:r>
            <w:r>
              <w:rPr/>
              <w:t xml:space="preserve"> </w:t>
            </w:r>
          </w:p>
        </w:tc>
        <w:tc>
          <w:tcPr>
            <w:tcW w:w="206" w:type="dxa"/>
            <w:tcBorders/>
            <w:vAlign w:val="center"/>
          </w:tcPr>
          <w:p>
            <w:pPr>
              <w:pStyle w:val="TableContents"/>
              <w:bidi w:val="0"/>
              <w:spacing w:before="0" w:after="1"/>
              <w:jc w:val="left"/>
              <w:rPr/>
            </w:pPr>
            <w:r>
              <w:rPr/>
              <w:t xml:space="preserve">  </w:t>
            </w:r>
          </w:p>
        </w:tc>
        <w:tc>
          <w:tcPr>
            <w:tcW w:w="916"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100.00%</w:t>
            </w:r>
            <w:r>
              <w:rPr/>
              <w:t xml:space="preserve"> </w:t>
            </w:r>
          </w:p>
        </w:tc>
      </w:tr>
      <w:tr>
        <w:trPr/>
        <w:tc>
          <w:tcPr>
            <w:tcW w:w="2686" w:type="dxa"/>
            <w:tcBorders/>
            <w:vAlign w:val="center"/>
          </w:tcPr>
          <w:p>
            <w:pPr>
              <w:pStyle w:val="TableContents"/>
              <w:bidi w:val="0"/>
              <w:spacing w:before="0" w:after="1"/>
              <w:jc w:val="left"/>
              <w:rPr/>
            </w:pPr>
            <w:r>
              <w:rPr>
                <w:rFonts w:ascii="Times New Roman" w:hAnsi="Times New Roman"/>
                <w:color w:val="000000"/>
                <w:sz w:val="18"/>
              </w:rPr>
              <w:t>Allowance for loan losses</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94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26,339</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94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28,335</w:t>
            </w:r>
            <w:r>
              <w:rPr/>
              <w:t xml:space="preserve"> </w:t>
            </w:r>
          </w:p>
        </w:tc>
        <w:tc>
          <w:tcPr>
            <w:tcW w:w="206" w:type="dxa"/>
            <w:tcBorders/>
            <w:vAlign w:val="center"/>
          </w:tcPr>
          <w:p>
            <w:pPr>
              <w:pStyle w:val="TableContents"/>
              <w:bidi w:val="0"/>
              <w:spacing w:before="0" w:after="1"/>
              <w:jc w:val="left"/>
              <w:rPr/>
            </w:pPr>
            <w:r>
              <w:rPr/>
              <w:t xml:space="preserve">  </w:t>
            </w:r>
          </w:p>
        </w:tc>
        <w:tc>
          <w:tcPr>
            <w:tcW w:w="916" w:type="dxa"/>
            <w:tcBorders/>
            <w:vAlign w:val="center"/>
          </w:tcPr>
          <w:p>
            <w:pPr>
              <w:pStyle w:val="TableContents"/>
              <w:bidi w:val="0"/>
              <w:spacing w:before="0" w:after="1"/>
              <w:jc w:val="left"/>
              <w:rPr/>
            </w:pPr>
            <w:r>
              <w:rPr/>
              <w:t xml:space="preserve">  </w:t>
            </w:r>
          </w:p>
        </w:tc>
      </w:tr>
      <w:tr>
        <w:trPr/>
        <w:tc>
          <w:tcPr>
            <w:tcW w:w="2686" w:type="dxa"/>
            <w:tcBorders/>
            <w:vAlign w:val="center"/>
          </w:tcPr>
          <w:p>
            <w:pPr>
              <w:pStyle w:val="TableContents"/>
              <w:bidi w:val="0"/>
              <w:spacing w:before="0" w:after="1"/>
              <w:jc w:val="left"/>
              <w:rPr/>
            </w:pPr>
            <w:r>
              <w:rPr>
                <w:rFonts w:ascii="Times New Roman" w:hAnsi="Times New Roman"/>
                <w:color w:val="000000"/>
                <w:sz w:val="18"/>
              </w:rPr>
              <w:t>Total loans, net</w:t>
            </w:r>
            <w:r>
              <w:rPr>
                <w:rFonts w:ascii="Times New Roman" w:hAnsi="Times New Roman"/>
                <w:color w:val="000000"/>
                <w:sz w:val="12"/>
              </w:rPr>
              <w:t>(1)</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46"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1,883,923</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46"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1,921,949</w:t>
            </w:r>
            <w:r>
              <w:rPr/>
              <w:t xml:space="preserve"> </w:t>
            </w:r>
          </w:p>
        </w:tc>
        <w:tc>
          <w:tcPr>
            <w:tcW w:w="206" w:type="dxa"/>
            <w:tcBorders/>
            <w:vAlign w:val="center"/>
          </w:tcPr>
          <w:p>
            <w:pPr>
              <w:pStyle w:val="TableContents"/>
              <w:bidi w:val="0"/>
              <w:spacing w:before="0" w:after="1"/>
              <w:jc w:val="left"/>
              <w:rPr/>
            </w:pPr>
            <w:r>
              <w:rPr/>
              <w:t xml:space="preserve">  </w:t>
            </w:r>
          </w:p>
        </w:tc>
        <w:tc>
          <w:tcPr>
            <w:tcW w:w="916" w:type="dxa"/>
            <w:tcBorders/>
            <w:vAlign w:val="center"/>
          </w:tcPr>
          <w:p>
            <w:pPr>
              <w:pStyle w:val="TableContents"/>
              <w:bidi w:val="0"/>
              <w:spacing w:before="0" w:after="1"/>
              <w:jc w:val="left"/>
              <w:rPr/>
            </w:pPr>
            <w:r>
              <w:rPr/>
              <w:t xml:space="preserve">  </w:t>
            </w:r>
          </w:p>
        </w:tc>
      </w:tr>
    </w:tbl>
    <w:p>
      <w:pPr>
        <w:pStyle w:val="TextBody"/>
        <w:bidi w:val="0"/>
        <w:spacing w:before="0" w:after="60"/>
        <w:jc w:val="both"/>
        <w:rPr/>
      </w:pPr>
      <w:r>
        <w:rPr/>
        <w:t xml:space="preserve">  </w:t>
      </w:r>
    </w:p>
    <w:p>
      <w:pPr>
        <w:pStyle w:val="TextBody"/>
        <w:bidi w:val="0"/>
        <w:spacing w:before="0" w:after="0"/>
        <w:ind w:left="576" w:right="0" w:hanging="0"/>
        <w:jc w:val="left"/>
        <w:rPr/>
      </w:pPr>
      <w:r>
        <w:rPr>
          <w:rFonts w:ascii="Times New Roman" w:hAnsi="Times New Roman"/>
          <w:sz w:val="16"/>
          <w:u w:val="single"/>
        </w:rPr>
        <w:t>Notes:</w:t>
      </w:r>
      <w:r>
        <w:rPr/>
        <w:t xml:space="preserve"> </w:t>
      </w:r>
    </w:p>
    <w:p>
      <w:pPr>
        <w:pStyle w:val="TextBody"/>
        <w:bidi w:val="0"/>
        <w:spacing w:before="0" w:after="0"/>
        <w:ind w:left="576" w:right="0" w:hanging="0"/>
        <w:jc w:val="both"/>
        <w:rPr/>
      </w:pPr>
      <w:r>
        <w:rPr>
          <w:rFonts w:ascii="Times New Roman" w:hAnsi="Times New Roman"/>
          <w:sz w:val="10"/>
        </w:rPr>
        <w:t>(1)</w:t>
      </w:r>
      <w:r>
        <w:rPr/>
        <w:t> </w:t>
      </w:r>
      <w:r>
        <w:rPr>
          <w:rFonts w:ascii="Times New Roman" w:hAnsi="Times New Roman"/>
          <w:sz w:val="16"/>
        </w:rPr>
        <w:t>During the six months ended June 30, 2026, the Company transferred loan balance of $63.6 million from loans to loans held-for-sale, net of valuation allowance of $4.8 million. At June 30, 2026, the composition of the loans held-for-sale portfolio consisted of $44.0 million residential real estate loans and $19.6 million of home equity loans.</w:t>
      </w:r>
      <w:r>
        <w:rPr/>
        <w:t xml:space="preserve"> </w:t>
      </w:r>
    </w:p>
    <w:p>
      <w:pPr>
        <w:pStyle w:val="TextBody"/>
        <w:bidi w:val="0"/>
        <w:spacing w:before="0" w:after="0"/>
        <w:jc w:val="center"/>
        <w:rPr/>
      </w:pPr>
      <w:r>
        <w:rPr/>
        <w:t xml:space="preserve">  </w:t>
      </w:r>
    </w:p>
    <w:p>
      <w:pPr>
        <w:pStyle w:val="TextBody"/>
        <w:bidi w:val="0"/>
        <w:spacing w:before="0" w:after="0"/>
        <w:jc w:val="center"/>
        <w:rPr/>
      </w:pPr>
      <w:r>
        <w:rPr/>
        <w:t xml:space="preserve">  </w:t>
      </w:r>
    </w:p>
    <w:p>
      <w:pPr>
        <w:pStyle w:val="TextBody"/>
        <w:bidi w:val="0"/>
        <w:spacing w:before="0" w:after="60"/>
        <w:ind w:left="432" w:right="0" w:hanging="0"/>
        <w:jc w:val="both"/>
        <w:rPr/>
      </w:pPr>
      <w:r>
        <w:rPr>
          <w:rFonts w:ascii="Times New Roman" w:hAnsi="Times New Roman"/>
          <w:sz w:val="18"/>
        </w:rPr>
        <w:t>The following table presents deposits by account type for the periods indicated.</w:t>
      </w:r>
      <w:r>
        <w:rPr/>
        <w:t xml:space="preserve"> </w:t>
      </w:r>
    </w:p>
    <w:tbl>
      <w:tblPr>
        <w:tblW w:w="9840" w:type="dxa"/>
        <w:jc w:val="left"/>
        <w:tblInd w:w="0" w:type="dxa"/>
        <w:tblLayout w:type="fixed"/>
        <w:tblCellMar>
          <w:top w:w="28" w:type="dxa"/>
          <w:left w:w="28" w:type="dxa"/>
          <w:bottom w:w="28" w:type="dxa"/>
          <w:right w:w="28" w:type="dxa"/>
        </w:tblCellMar>
      </w:tblPr>
      <w:tblGrid>
        <w:gridCol w:w="2851"/>
        <w:gridCol w:w="206"/>
        <w:gridCol w:w="256"/>
        <w:gridCol w:w="946"/>
        <w:gridCol w:w="206"/>
        <w:gridCol w:w="871"/>
        <w:gridCol w:w="206"/>
        <w:gridCol w:w="781"/>
        <w:gridCol w:w="206"/>
        <w:gridCol w:w="256"/>
        <w:gridCol w:w="946"/>
        <w:gridCol w:w="206"/>
        <w:gridCol w:w="871"/>
        <w:gridCol w:w="206"/>
        <w:gridCol w:w="826"/>
      </w:tblGrid>
      <w:tr>
        <w:trPr/>
        <w:tc>
          <w:tcPr>
            <w:tcW w:w="285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946"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78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946"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826" w:type="dxa"/>
            <w:tcBorders/>
            <w:vAlign w:val="center"/>
          </w:tcPr>
          <w:p>
            <w:pPr>
              <w:pStyle w:val="TableContents"/>
              <w:bidi w:val="0"/>
              <w:spacing w:before="0" w:after="1"/>
              <w:jc w:val="left"/>
              <w:rPr/>
            </w:pPr>
            <w:r>
              <w:rPr/>
              <w:t xml:space="preserve">  </w:t>
            </w:r>
          </w:p>
        </w:tc>
      </w:tr>
      <w:tr>
        <w:trPr/>
        <w:tc>
          <w:tcPr>
            <w:tcW w:w="285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3266" w:type="dxa"/>
            <w:gridSpan w:val="6"/>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At June 30, 2026</w:t>
            </w:r>
            <w:r>
              <w:rPr/>
              <w:t xml:space="preserve"> </w:t>
            </w:r>
          </w:p>
        </w:tc>
        <w:tc>
          <w:tcPr>
            <w:tcW w:w="206" w:type="dxa"/>
            <w:tcBorders/>
            <w:vAlign w:val="center"/>
          </w:tcPr>
          <w:p>
            <w:pPr>
              <w:pStyle w:val="TableContents"/>
              <w:bidi w:val="0"/>
              <w:spacing w:before="0" w:after="1"/>
              <w:jc w:val="left"/>
              <w:rPr/>
            </w:pPr>
            <w:r>
              <w:rPr/>
              <w:t xml:space="preserve">  </w:t>
            </w:r>
          </w:p>
        </w:tc>
        <w:tc>
          <w:tcPr>
            <w:tcW w:w="3311" w:type="dxa"/>
            <w:gridSpan w:val="6"/>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At December 31, 2025</w:t>
            </w:r>
            <w:r>
              <w:rPr/>
              <w:t xml:space="preserve"> </w:t>
            </w:r>
          </w:p>
        </w:tc>
      </w:tr>
      <w:tr>
        <w:trPr/>
        <w:tc>
          <w:tcPr>
            <w:tcW w:w="285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center"/>
              <w:rPr/>
            </w:pPr>
            <w:r>
              <w:rPr/>
              <w:t xml:space="preserve">  </w:t>
            </w:r>
          </w:p>
        </w:tc>
        <w:tc>
          <w:tcPr>
            <w:tcW w:w="946" w:type="dxa"/>
            <w:tcBorders/>
            <w:vAlign w:val="center"/>
          </w:tcPr>
          <w:p>
            <w:pPr>
              <w:pStyle w:val="TableContents"/>
              <w:bidi w:val="0"/>
              <w:spacing w:before="0" w:after="1"/>
              <w:jc w:val="center"/>
              <w:rPr/>
            </w:pPr>
            <w:r>
              <w:rPr/>
              <w:t xml:space="preserve">  </w:t>
            </w:r>
          </w:p>
        </w:tc>
        <w:tc>
          <w:tcPr>
            <w:tcW w:w="206" w:type="dxa"/>
            <w:tcBorders/>
            <w:vAlign w:val="center"/>
          </w:tcPr>
          <w:p>
            <w:pPr>
              <w:pStyle w:val="TableContents"/>
              <w:bidi w:val="0"/>
              <w:spacing w:before="0" w:after="1"/>
              <w:jc w:val="center"/>
              <w:rPr/>
            </w:pPr>
            <w:r>
              <w:rPr/>
              <w:t xml:space="preserve">  </w:t>
            </w:r>
          </w:p>
        </w:tc>
        <w:tc>
          <w:tcPr>
            <w:tcW w:w="871" w:type="dxa"/>
            <w:tcBorders/>
            <w:vAlign w:val="center"/>
          </w:tcPr>
          <w:p>
            <w:pPr>
              <w:pStyle w:val="TableContents"/>
              <w:bidi w:val="0"/>
              <w:spacing w:before="0" w:after="1"/>
              <w:jc w:val="center"/>
              <w:rPr/>
            </w:pPr>
            <w:r>
              <w:rPr/>
              <w:t xml:space="preserve">  </w:t>
            </w:r>
          </w:p>
        </w:tc>
        <w:tc>
          <w:tcPr>
            <w:tcW w:w="206" w:type="dxa"/>
            <w:tcBorders/>
            <w:vAlign w:val="center"/>
          </w:tcPr>
          <w:p>
            <w:pPr>
              <w:pStyle w:val="TableContents"/>
              <w:bidi w:val="0"/>
              <w:spacing w:before="0" w:after="1"/>
              <w:jc w:val="center"/>
              <w:rPr/>
            </w:pPr>
            <w:r>
              <w:rPr/>
              <w:t xml:space="preserve">  </w:t>
            </w:r>
          </w:p>
        </w:tc>
        <w:tc>
          <w:tcPr>
            <w:tcW w:w="781" w:type="dxa"/>
            <w:tcBorders/>
            <w:vAlign w:val="center"/>
          </w:tcPr>
          <w:p>
            <w:pPr>
              <w:pStyle w:val="TableContents"/>
              <w:bidi w:val="0"/>
              <w:spacing w:before="0" w:after="1"/>
              <w:jc w:val="center"/>
              <w:rPr/>
            </w:pPr>
            <w:r>
              <w:rPr>
                <w:rFonts w:ascii="Times New Roman" w:hAnsi="Times New Roman"/>
                <w:b/>
                <w:color w:val="000000"/>
                <w:sz w:val="16"/>
              </w:rPr>
              <w:t>Average</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center"/>
              <w:rPr/>
            </w:pPr>
            <w:r>
              <w:rPr/>
              <w:t xml:space="preserve">  </w:t>
            </w:r>
          </w:p>
        </w:tc>
        <w:tc>
          <w:tcPr>
            <w:tcW w:w="946" w:type="dxa"/>
            <w:tcBorders/>
            <w:vAlign w:val="center"/>
          </w:tcPr>
          <w:p>
            <w:pPr>
              <w:pStyle w:val="TableContents"/>
              <w:bidi w:val="0"/>
              <w:spacing w:before="0" w:after="1"/>
              <w:jc w:val="center"/>
              <w:rPr/>
            </w:pPr>
            <w:r>
              <w:rPr/>
              <w:t xml:space="preserve">  </w:t>
            </w:r>
          </w:p>
        </w:tc>
        <w:tc>
          <w:tcPr>
            <w:tcW w:w="206" w:type="dxa"/>
            <w:tcBorders/>
            <w:vAlign w:val="center"/>
          </w:tcPr>
          <w:p>
            <w:pPr>
              <w:pStyle w:val="TableContents"/>
              <w:bidi w:val="0"/>
              <w:spacing w:before="0" w:after="1"/>
              <w:jc w:val="center"/>
              <w:rPr/>
            </w:pPr>
            <w:r>
              <w:rPr/>
              <w:t xml:space="preserve">  </w:t>
            </w:r>
          </w:p>
        </w:tc>
        <w:tc>
          <w:tcPr>
            <w:tcW w:w="871" w:type="dxa"/>
            <w:tcBorders/>
            <w:vAlign w:val="center"/>
          </w:tcPr>
          <w:p>
            <w:pPr>
              <w:pStyle w:val="TableContents"/>
              <w:bidi w:val="0"/>
              <w:spacing w:before="0" w:after="1"/>
              <w:jc w:val="center"/>
              <w:rPr/>
            </w:pPr>
            <w:r>
              <w:rPr/>
              <w:t xml:space="preserve">  </w:t>
            </w:r>
          </w:p>
        </w:tc>
        <w:tc>
          <w:tcPr>
            <w:tcW w:w="206" w:type="dxa"/>
            <w:tcBorders/>
            <w:vAlign w:val="center"/>
          </w:tcPr>
          <w:p>
            <w:pPr>
              <w:pStyle w:val="TableContents"/>
              <w:bidi w:val="0"/>
              <w:spacing w:before="0" w:after="1"/>
              <w:jc w:val="center"/>
              <w:rPr/>
            </w:pPr>
            <w:r>
              <w:rPr/>
              <w:t xml:space="preserve">  </w:t>
            </w:r>
          </w:p>
        </w:tc>
        <w:tc>
          <w:tcPr>
            <w:tcW w:w="826" w:type="dxa"/>
            <w:tcBorders/>
            <w:vAlign w:val="center"/>
          </w:tcPr>
          <w:p>
            <w:pPr>
              <w:pStyle w:val="TableContents"/>
              <w:bidi w:val="0"/>
              <w:spacing w:before="0" w:after="1"/>
              <w:jc w:val="center"/>
              <w:rPr/>
            </w:pPr>
            <w:r>
              <w:rPr>
                <w:rFonts w:ascii="Times New Roman" w:hAnsi="Times New Roman"/>
                <w:b/>
                <w:color w:val="000000"/>
                <w:sz w:val="16"/>
              </w:rPr>
              <w:t>Average</w:t>
            </w:r>
            <w:r>
              <w:rPr/>
              <w:t xml:space="preserve"> </w:t>
            </w:r>
          </w:p>
        </w:tc>
      </w:tr>
      <w:tr>
        <w:trPr/>
        <w:tc>
          <w:tcPr>
            <w:tcW w:w="2851" w:type="dxa"/>
            <w:tcBorders/>
            <w:vAlign w:val="center"/>
          </w:tcPr>
          <w:p>
            <w:pPr>
              <w:pStyle w:val="TableContents"/>
              <w:bidi w:val="0"/>
              <w:spacing w:before="0" w:after="1"/>
              <w:jc w:val="center"/>
              <w:rPr/>
            </w:pPr>
            <w:r>
              <w:rPr/>
              <w:t xml:space="preserve">  </w:t>
            </w:r>
          </w:p>
        </w:tc>
        <w:tc>
          <w:tcPr>
            <w:tcW w:w="206" w:type="dxa"/>
            <w:tcBorders/>
            <w:vAlign w:val="center"/>
          </w:tcPr>
          <w:p>
            <w:pPr>
              <w:pStyle w:val="TableContents"/>
              <w:bidi w:val="0"/>
              <w:spacing w:before="0" w:after="1"/>
              <w:jc w:val="center"/>
              <w:rPr/>
            </w:pPr>
            <w:r>
              <w:rPr/>
              <w:t xml:space="preserve">  </w:t>
            </w:r>
          </w:p>
        </w:tc>
        <w:tc>
          <w:tcPr>
            <w:tcW w:w="1202"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Amount</w:t>
            </w:r>
            <w:r>
              <w:rPr/>
              <w:t xml:space="preserve"> </w:t>
            </w:r>
          </w:p>
        </w:tc>
        <w:tc>
          <w:tcPr>
            <w:tcW w:w="206" w:type="dxa"/>
            <w:tcBorders/>
            <w:vAlign w:val="center"/>
          </w:tcPr>
          <w:p>
            <w:pPr>
              <w:pStyle w:val="TableContents"/>
              <w:bidi w:val="0"/>
              <w:spacing w:before="0" w:after="1"/>
              <w:jc w:val="center"/>
              <w:rPr/>
            </w:pPr>
            <w:r>
              <w:rPr/>
              <w:t xml:space="preserve">  </w:t>
            </w:r>
          </w:p>
        </w:tc>
        <w:tc>
          <w:tcPr>
            <w:tcW w:w="871" w:type="dxa"/>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Percent</w:t>
            </w:r>
            <w:r>
              <w:rPr/>
              <w:t xml:space="preserve"> </w:t>
            </w:r>
          </w:p>
        </w:tc>
        <w:tc>
          <w:tcPr>
            <w:tcW w:w="206" w:type="dxa"/>
            <w:tcBorders/>
            <w:vAlign w:val="center"/>
          </w:tcPr>
          <w:p>
            <w:pPr>
              <w:pStyle w:val="TableContents"/>
              <w:bidi w:val="0"/>
              <w:spacing w:before="0" w:after="1"/>
              <w:jc w:val="center"/>
              <w:rPr/>
            </w:pPr>
            <w:r>
              <w:rPr/>
              <w:t xml:space="preserve">  </w:t>
            </w:r>
          </w:p>
        </w:tc>
        <w:tc>
          <w:tcPr>
            <w:tcW w:w="781" w:type="dxa"/>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Rate</w:t>
            </w:r>
            <w:r>
              <w:rPr/>
              <w:t xml:space="preserve"> </w:t>
            </w:r>
          </w:p>
        </w:tc>
        <w:tc>
          <w:tcPr>
            <w:tcW w:w="206" w:type="dxa"/>
            <w:tcBorders/>
            <w:vAlign w:val="center"/>
          </w:tcPr>
          <w:p>
            <w:pPr>
              <w:pStyle w:val="TableContents"/>
              <w:bidi w:val="0"/>
              <w:spacing w:before="0" w:after="1"/>
              <w:jc w:val="center"/>
              <w:rPr/>
            </w:pPr>
            <w:r>
              <w:rPr/>
              <w:t xml:space="preserve">  </w:t>
            </w:r>
          </w:p>
        </w:tc>
        <w:tc>
          <w:tcPr>
            <w:tcW w:w="1202"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Amount</w:t>
            </w:r>
            <w:r>
              <w:rPr/>
              <w:t xml:space="preserve"> </w:t>
            </w:r>
          </w:p>
        </w:tc>
        <w:tc>
          <w:tcPr>
            <w:tcW w:w="206" w:type="dxa"/>
            <w:tcBorders/>
            <w:vAlign w:val="center"/>
          </w:tcPr>
          <w:p>
            <w:pPr>
              <w:pStyle w:val="TableContents"/>
              <w:bidi w:val="0"/>
              <w:spacing w:before="0" w:after="1"/>
              <w:jc w:val="center"/>
              <w:rPr/>
            </w:pPr>
            <w:r>
              <w:rPr/>
              <w:t xml:space="preserve">  </w:t>
            </w:r>
          </w:p>
        </w:tc>
        <w:tc>
          <w:tcPr>
            <w:tcW w:w="871" w:type="dxa"/>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Percent</w:t>
            </w:r>
            <w:r>
              <w:rPr/>
              <w:t xml:space="preserve"> </w:t>
            </w:r>
          </w:p>
        </w:tc>
        <w:tc>
          <w:tcPr>
            <w:tcW w:w="206" w:type="dxa"/>
            <w:tcBorders/>
            <w:vAlign w:val="center"/>
          </w:tcPr>
          <w:p>
            <w:pPr>
              <w:pStyle w:val="TableContents"/>
              <w:bidi w:val="0"/>
              <w:spacing w:before="0" w:after="1"/>
              <w:jc w:val="center"/>
              <w:rPr/>
            </w:pPr>
            <w:r>
              <w:rPr/>
              <w:t xml:space="preserve">  </w:t>
            </w:r>
          </w:p>
        </w:tc>
        <w:tc>
          <w:tcPr>
            <w:tcW w:w="826" w:type="dxa"/>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Rate</w:t>
            </w:r>
            <w:r>
              <w:rPr/>
              <w:t xml:space="preserve"> </w:t>
            </w:r>
          </w:p>
        </w:tc>
      </w:tr>
      <w:tr>
        <w:trPr/>
        <w:tc>
          <w:tcPr>
            <w:tcW w:w="2851" w:type="dxa"/>
            <w:tcBorders/>
            <w:vAlign w:val="center"/>
          </w:tcPr>
          <w:p>
            <w:pPr>
              <w:pStyle w:val="TableContents"/>
              <w:bidi w:val="0"/>
              <w:spacing w:before="0" w:after="1"/>
              <w:jc w:val="left"/>
              <w:rPr/>
            </w:pPr>
            <w:r>
              <w:rPr>
                <w:rFonts w:ascii="Times New Roman" w:hAnsi="Times New Roman"/>
                <w:color w:val="000000"/>
                <w:sz w:val="18"/>
              </w:rPr>
              <w:t>Noninterest-bearing demand accounts</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46" w:type="dxa"/>
            <w:tcBorders/>
            <w:vAlign w:val="center"/>
          </w:tcPr>
          <w:p>
            <w:pPr>
              <w:pStyle w:val="TableContents"/>
              <w:bidi w:val="0"/>
              <w:spacing w:before="0" w:after="1"/>
              <w:ind w:left="0" w:right="60" w:hanging="0"/>
              <w:jc w:val="right"/>
              <w:rPr/>
            </w:pPr>
            <w:r>
              <w:rPr>
                <w:rFonts w:ascii="Times New Roman" w:hAnsi="Times New Roman"/>
                <w:color w:val="000000"/>
                <w:sz w:val="18"/>
              </w:rPr>
              <w:t>793,908</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32.66%</w:t>
            </w:r>
            <w:r>
              <w:rPr/>
              <w:t xml:space="preserve"> </w:t>
            </w:r>
          </w:p>
        </w:tc>
        <w:tc>
          <w:tcPr>
            <w:tcW w:w="206" w:type="dxa"/>
            <w:tcBorders/>
            <w:vAlign w:val="center"/>
          </w:tcPr>
          <w:p>
            <w:pPr>
              <w:pStyle w:val="TableContents"/>
              <w:bidi w:val="0"/>
              <w:spacing w:before="0" w:after="1"/>
              <w:jc w:val="left"/>
              <w:rPr/>
            </w:pPr>
            <w:r>
              <w:rPr/>
              <w:t xml:space="preserve">  </w:t>
            </w:r>
          </w:p>
        </w:tc>
        <w:tc>
          <w:tcPr>
            <w:tcW w:w="781" w:type="dxa"/>
            <w:tcBorders/>
            <w:vAlign w:val="center"/>
          </w:tcPr>
          <w:p>
            <w:pPr>
              <w:pStyle w:val="TableContents"/>
              <w:bidi w:val="0"/>
              <w:spacing w:before="0" w:after="1"/>
              <w:ind w:left="0" w:right="60" w:hanging="0"/>
              <w:jc w:val="right"/>
              <w:rPr/>
            </w:pPr>
            <w:r>
              <w:rPr>
                <w:rFonts w:ascii="Times New Roman" w:hAnsi="Times New Roman"/>
                <w:color w:val="000000"/>
                <w:sz w:val="18"/>
              </w:rPr>
              <w:t>0.00%</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46" w:type="dxa"/>
            <w:tcBorders/>
            <w:vAlign w:val="center"/>
          </w:tcPr>
          <w:p>
            <w:pPr>
              <w:pStyle w:val="TableContents"/>
              <w:bidi w:val="0"/>
              <w:spacing w:before="0" w:after="1"/>
              <w:ind w:left="0" w:right="60" w:hanging="0"/>
              <w:jc w:val="right"/>
              <w:rPr/>
            </w:pPr>
            <w:r>
              <w:rPr>
                <w:rFonts w:ascii="Times New Roman" w:hAnsi="Times New Roman"/>
                <w:color w:val="000000"/>
                <w:sz w:val="18"/>
              </w:rPr>
              <w:t>725,656</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31.41%</w:t>
            </w:r>
            <w:r>
              <w:rPr/>
              <w:t xml:space="preserve"> </w:t>
            </w:r>
          </w:p>
        </w:tc>
        <w:tc>
          <w:tcPr>
            <w:tcW w:w="206" w:type="dxa"/>
            <w:tcBorders/>
            <w:vAlign w:val="center"/>
          </w:tcPr>
          <w:p>
            <w:pPr>
              <w:pStyle w:val="TableContents"/>
              <w:bidi w:val="0"/>
              <w:spacing w:before="0" w:after="1"/>
              <w:jc w:val="left"/>
              <w:rPr/>
            </w:pPr>
            <w:r>
              <w:rPr/>
              <w:t xml:space="preserve">  </w:t>
            </w:r>
          </w:p>
        </w:tc>
        <w:tc>
          <w:tcPr>
            <w:tcW w:w="826" w:type="dxa"/>
            <w:tcBorders/>
            <w:vAlign w:val="center"/>
          </w:tcPr>
          <w:p>
            <w:pPr>
              <w:pStyle w:val="TableContents"/>
              <w:bidi w:val="0"/>
              <w:spacing w:before="0" w:after="1"/>
              <w:ind w:left="0" w:right="60" w:hanging="0"/>
              <w:jc w:val="right"/>
              <w:rPr/>
            </w:pPr>
            <w:r>
              <w:rPr>
                <w:rFonts w:ascii="Times New Roman" w:hAnsi="Times New Roman"/>
                <w:color w:val="000000"/>
                <w:sz w:val="18"/>
              </w:rPr>
              <w:t>0.00%</w:t>
            </w:r>
            <w:r>
              <w:rPr/>
              <w:t xml:space="preserve"> </w:t>
            </w:r>
          </w:p>
        </w:tc>
      </w:tr>
      <w:tr>
        <w:trPr/>
        <w:tc>
          <w:tcPr>
            <w:tcW w:w="2851" w:type="dxa"/>
            <w:tcBorders/>
            <w:vAlign w:val="center"/>
          </w:tcPr>
          <w:p>
            <w:pPr>
              <w:pStyle w:val="TableContents"/>
              <w:bidi w:val="0"/>
              <w:spacing w:before="0" w:after="1"/>
              <w:jc w:val="left"/>
              <w:rPr/>
            </w:pPr>
            <w:r>
              <w:rPr>
                <w:rFonts w:ascii="Times New Roman" w:hAnsi="Times New Roman"/>
                <w:color w:val="000000"/>
                <w:sz w:val="18"/>
              </w:rPr>
              <w:t>Interest bearing demand accounts</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946" w:type="dxa"/>
            <w:tcBorders/>
            <w:vAlign w:val="center"/>
          </w:tcPr>
          <w:p>
            <w:pPr>
              <w:pStyle w:val="TableContents"/>
              <w:bidi w:val="0"/>
              <w:spacing w:before="0" w:after="1"/>
              <w:ind w:left="0" w:right="60" w:hanging="0"/>
              <w:jc w:val="right"/>
              <w:rPr/>
            </w:pPr>
            <w:r>
              <w:rPr>
                <w:rFonts w:ascii="Times New Roman" w:hAnsi="Times New Roman"/>
                <w:color w:val="000000"/>
                <w:sz w:val="18"/>
              </w:rPr>
              <w:t>490,746</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20.19%</w:t>
            </w:r>
            <w:r>
              <w:rPr/>
              <w:t xml:space="preserve"> </w:t>
            </w:r>
          </w:p>
        </w:tc>
        <w:tc>
          <w:tcPr>
            <w:tcW w:w="206" w:type="dxa"/>
            <w:tcBorders/>
            <w:vAlign w:val="center"/>
          </w:tcPr>
          <w:p>
            <w:pPr>
              <w:pStyle w:val="TableContents"/>
              <w:bidi w:val="0"/>
              <w:spacing w:before="0" w:after="1"/>
              <w:jc w:val="left"/>
              <w:rPr/>
            </w:pPr>
            <w:r>
              <w:rPr/>
              <w:t xml:space="preserve">  </w:t>
            </w:r>
          </w:p>
        </w:tc>
        <w:tc>
          <w:tcPr>
            <w:tcW w:w="781" w:type="dxa"/>
            <w:tcBorders/>
            <w:vAlign w:val="center"/>
          </w:tcPr>
          <w:p>
            <w:pPr>
              <w:pStyle w:val="TableContents"/>
              <w:bidi w:val="0"/>
              <w:spacing w:before="0" w:after="1"/>
              <w:ind w:left="0" w:right="60" w:hanging="0"/>
              <w:jc w:val="right"/>
              <w:rPr/>
            </w:pPr>
            <w:r>
              <w:rPr>
                <w:rFonts w:ascii="Times New Roman" w:hAnsi="Times New Roman"/>
                <w:color w:val="000000"/>
                <w:sz w:val="18"/>
              </w:rPr>
              <w:t>0.38%</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946" w:type="dxa"/>
            <w:tcBorders/>
            <w:vAlign w:val="center"/>
          </w:tcPr>
          <w:p>
            <w:pPr>
              <w:pStyle w:val="TableContents"/>
              <w:bidi w:val="0"/>
              <w:spacing w:before="0" w:after="1"/>
              <w:ind w:left="0" w:right="60" w:hanging="0"/>
              <w:jc w:val="right"/>
              <w:rPr/>
            </w:pPr>
            <w:r>
              <w:rPr>
                <w:rFonts w:ascii="Times New Roman" w:hAnsi="Times New Roman"/>
                <w:color w:val="000000"/>
                <w:sz w:val="18"/>
              </w:rPr>
              <w:t>419,604</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18.16%</w:t>
            </w:r>
            <w:r>
              <w:rPr/>
              <w:t xml:space="preserve"> </w:t>
            </w:r>
          </w:p>
        </w:tc>
        <w:tc>
          <w:tcPr>
            <w:tcW w:w="206" w:type="dxa"/>
            <w:tcBorders/>
            <w:vAlign w:val="center"/>
          </w:tcPr>
          <w:p>
            <w:pPr>
              <w:pStyle w:val="TableContents"/>
              <w:bidi w:val="0"/>
              <w:spacing w:before="0" w:after="1"/>
              <w:jc w:val="left"/>
              <w:rPr/>
            </w:pPr>
            <w:r>
              <w:rPr/>
              <w:t xml:space="preserve">  </w:t>
            </w:r>
          </w:p>
        </w:tc>
        <w:tc>
          <w:tcPr>
            <w:tcW w:w="826" w:type="dxa"/>
            <w:tcBorders/>
            <w:vAlign w:val="center"/>
          </w:tcPr>
          <w:p>
            <w:pPr>
              <w:pStyle w:val="TableContents"/>
              <w:bidi w:val="0"/>
              <w:spacing w:before="0" w:after="1"/>
              <w:ind w:left="0" w:right="60" w:hanging="0"/>
              <w:jc w:val="right"/>
              <w:rPr/>
            </w:pPr>
            <w:r>
              <w:rPr>
                <w:rFonts w:ascii="Times New Roman" w:hAnsi="Times New Roman"/>
                <w:color w:val="000000"/>
                <w:sz w:val="18"/>
              </w:rPr>
              <w:t>0.72%</w:t>
            </w:r>
            <w:r>
              <w:rPr/>
              <w:t xml:space="preserve"> </w:t>
            </w:r>
          </w:p>
        </w:tc>
      </w:tr>
      <w:tr>
        <w:trPr/>
        <w:tc>
          <w:tcPr>
            <w:tcW w:w="2851" w:type="dxa"/>
            <w:tcBorders/>
            <w:vAlign w:val="center"/>
          </w:tcPr>
          <w:p>
            <w:pPr>
              <w:pStyle w:val="TableContents"/>
              <w:bidi w:val="0"/>
              <w:spacing w:before="0" w:after="1"/>
              <w:jc w:val="left"/>
              <w:rPr/>
            </w:pPr>
            <w:r>
              <w:rPr>
                <w:rFonts w:ascii="Times New Roman" w:hAnsi="Times New Roman"/>
                <w:color w:val="000000"/>
                <w:sz w:val="18"/>
              </w:rPr>
              <w:t>Money market accounts</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946" w:type="dxa"/>
            <w:tcBorders/>
            <w:vAlign w:val="center"/>
          </w:tcPr>
          <w:p>
            <w:pPr>
              <w:pStyle w:val="TableContents"/>
              <w:bidi w:val="0"/>
              <w:spacing w:before="0" w:after="1"/>
              <w:ind w:left="0" w:right="60" w:hanging="0"/>
              <w:jc w:val="right"/>
              <w:rPr/>
            </w:pPr>
            <w:r>
              <w:rPr>
                <w:rFonts w:ascii="Times New Roman" w:hAnsi="Times New Roman"/>
                <w:color w:val="000000"/>
                <w:sz w:val="18"/>
              </w:rPr>
              <w:t>255,135</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10.49%</w:t>
            </w:r>
            <w:r>
              <w:rPr/>
              <w:t xml:space="preserve"> </w:t>
            </w:r>
          </w:p>
        </w:tc>
        <w:tc>
          <w:tcPr>
            <w:tcW w:w="206" w:type="dxa"/>
            <w:tcBorders/>
            <w:vAlign w:val="center"/>
          </w:tcPr>
          <w:p>
            <w:pPr>
              <w:pStyle w:val="TableContents"/>
              <w:bidi w:val="0"/>
              <w:spacing w:before="0" w:after="1"/>
              <w:jc w:val="left"/>
              <w:rPr/>
            </w:pPr>
            <w:r>
              <w:rPr/>
              <w:t xml:space="preserve">  </w:t>
            </w:r>
          </w:p>
        </w:tc>
        <w:tc>
          <w:tcPr>
            <w:tcW w:w="781" w:type="dxa"/>
            <w:tcBorders/>
            <w:vAlign w:val="center"/>
          </w:tcPr>
          <w:p>
            <w:pPr>
              <w:pStyle w:val="TableContents"/>
              <w:bidi w:val="0"/>
              <w:spacing w:before="0" w:after="1"/>
              <w:ind w:left="0" w:right="60" w:hanging="0"/>
              <w:jc w:val="right"/>
              <w:rPr/>
            </w:pPr>
            <w:r>
              <w:rPr>
                <w:rFonts w:ascii="Times New Roman" w:hAnsi="Times New Roman"/>
                <w:color w:val="000000"/>
                <w:sz w:val="18"/>
              </w:rPr>
              <w:t>1.34%</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946" w:type="dxa"/>
            <w:tcBorders/>
            <w:vAlign w:val="center"/>
          </w:tcPr>
          <w:p>
            <w:pPr>
              <w:pStyle w:val="TableContents"/>
              <w:bidi w:val="0"/>
              <w:spacing w:before="0" w:after="1"/>
              <w:ind w:left="0" w:right="60" w:hanging="0"/>
              <w:jc w:val="right"/>
              <w:rPr/>
            </w:pPr>
            <w:r>
              <w:rPr>
                <w:rFonts w:ascii="Times New Roman" w:hAnsi="Times New Roman"/>
                <w:color w:val="000000"/>
                <w:sz w:val="18"/>
              </w:rPr>
              <w:t>646,688</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27.99%</w:t>
            </w:r>
            <w:r>
              <w:rPr/>
              <w:t xml:space="preserve"> </w:t>
            </w:r>
          </w:p>
        </w:tc>
        <w:tc>
          <w:tcPr>
            <w:tcW w:w="206" w:type="dxa"/>
            <w:tcBorders/>
            <w:vAlign w:val="center"/>
          </w:tcPr>
          <w:p>
            <w:pPr>
              <w:pStyle w:val="TableContents"/>
              <w:bidi w:val="0"/>
              <w:spacing w:before="0" w:after="1"/>
              <w:jc w:val="left"/>
              <w:rPr/>
            </w:pPr>
            <w:r>
              <w:rPr/>
              <w:t xml:space="preserve">  </w:t>
            </w:r>
          </w:p>
        </w:tc>
        <w:tc>
          <w:tcPr>
            <w:tcW w:w="826" w:type="dxa"/>
            <w:tcBorders/>
            <w:vAlign w:val="center"/>
          </w:tcPr>
          <w:p>
            <w:pPr>
              <w:pStyle w:val="TableContents"/>
              <w:bidi w:val="0"/>
              <w:spacing w:before="0" w:after="1"/>
              <w:ind w:left="0" w:right="60" w:hanging="0"/>
              <w:jc w:val="right"/>
              <w:rPr/>
            </w:pPr>
            <w:r>
              <w:rPr>
                <w:rFonts w:ascii="Times New Roman" w:hAnsi="Times New Roman"/>
                <w:color w:val="000000"/>
                <w:sz w:val="18"/>
              </w:rPr>
              <w:t>1.86%</w:t>
            </w:r>
            <w:r>
              <w:rPr/>
              <w:t xml:space="preserve"> </w:t>
            </w:r>
          </w:p>
        </w:tc>
      </w:tr>
      <w:tr>
        <w:trPr/>
        <w:tc>
          <w:tcPr>
            <w:tcW w:w="2851" w:type="dxa"/>
            <w:tcBorders/>
            <w:vAlign w:val="center"/>
          </w:tcPr>
          <w:p>
            <w:pPr>
              <w:pStyle w:val="TableContents"/>
              <w:bidi w:val="0"/>
              <w:spacing w:before="0" w:after="1"/>
              <w:jc w:val="left"/>
              <w:rPr/>
            </w:pPr>
            <w:r>
              <w:rPr>
                <w:rFonts w:ascii="Times New Roman" w:hAnsi="Times New Roman"/>
                <w:color w:val="000000"/>
                <w:sz w:val="18"/>
              </w:rPr>
              <w:t>Savings accounts</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946" w:type="dxa"/>
            <w:tcBorders/>
            <w:vAlign w:val="center"/>
          </w:tcPr>
          <w:p>
            <w:pPr>
              <w:pStyle w:val="TableContents"/>
              <w:bidi w:val="0"/>
              <w:spacing w:before="0" w:after="1"/>
              <w:ind w:left="0" w:right="60" w:hanging="0"/>
              <w:jc w:val="right"/>
              <w:rPr/>
            </w:pPr>
            <w:r>
              <w:rPr>
                <w:rFonts w:ascii="Times New Roman" w:hAnsi="Times New Roman"/>
                <w:color w:val="000000"/>
                <w:sz w:val="18"/>
              </w:rPr>
              <w:t>855,385</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35.18%</w:t>
            </w:r>
            <w:r>
              <w:rPr/>
              <w:t xml:space="preserve"> </w:t>
            </w:r>
          </w:p>
        </w:tc>
        <w:tc>
          <w:tcPr>
            <w:tcW w:w="206" w:type="dxa"/>
            <w:tcBorders/>
            <w:vAlign w:val="center"/>
          </w:tcPr>
          <w:p>
            <w:pPr>
              <w:pStyle w:val="TableContents"/>
              <w:bidi w:val="0"/>
              <w:spacing w:before="0" w:after="1"/>
              <w:jc w:val="left"/>
              <w:rPr/>
            </w:pPr>
            <w:r>
              <w:rPr/>
              <w:t xml:space="preserve">  </w:t>
            </w:r>
          </w:p>
        </w:tc>
        <w:tc>
          <w:tcPr>
            <w:tcW w:w="781" w:type="dxa"/>
            <w:tcBorders/>
            <w:vAlign w:val="center"/>
          </w:tcPr>
          <w:p>
            <w:pPr>
              <w:pStyle w:val="TableContents"/>
              <w:bidi w:val="0"/>
              <w:spacing w:before="0" w:after="1"/>
              <w:ind w:left="0" w:right="60" w:hanging="0"/>
              <w:jc w:val="right"/>
              <w:rPr/>
            </w:pPr>
            <w:r>
              <w:rPr>
                <w:rFonts w:ascii="Times New Roman" w:hAnsi="Times New Roman"/>
                <w:color w:val="000000"/>
                <w:sz w:val="18"/>
              </w:rPr>
              <w:t>1.93%</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946" w:type="dxa"/>
            <w:tcBorders/>
            <w:vAlign w:val="center"/>
          </w:tcPr>
          <w:p>
            <w:pPr>
              <w:pStyle w:val="TableContents"/>
              <w:bidi w:val="0"/>
              <w:spacing w:before="0" w:after="1"/>
              <w:ind w:left="0" w:right="60" w:hanging="0"/>
              <w:jc w:val="right"/>
              <w:rPr/>
            </w:pPr>
            <w:r>
              <w:rPr>
                <w:rFonts w:ascii="Times New Roman" w:hAnsi="Times New Roman"/>
                <w:color w:val="000000"/>
                <w:sz w:val="18"/>
              </w:rPr>
              <w:t>359,415</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vAlign w:val="center"/>
          </w:tcPr>
          <w:p>
            <w:pPr>
              <w:pStyle w:val="TableContents"/>
              <w:bidi w:val="0"/>
              <w:spacing w:before="0" w:after="1"/>
              <w:ind w:left="0" w:right="60" w:hanging="0"/>
              <w:jc w:val="right"/>
              <w:rPr/>
            </w:pPr>
            <w:r>
              <w:rPr>
                <w:rFonts w:ascii="Times New Roman" w:hAnsi="Times New Roman"/>
                <w:color w:val="000000"/>
                <w:sz w:val="18"/>
              </w:rPr>
              <w:t>15.56%</w:t>
            </w:r>
            <w:r>
              <w:rPr/>
              <w:t xml:space="preserve"> </w:t>
            </w:r>
          </w:p>
        </w:tc>
        <w:tc>
          <w:tcPr>
            <w:tcW w:w="206" w:type="dxa"/>
            <w:tcBorders/>
            <w:vAlign w:val="center"/>
          </w:tcPr>
          <w:p>
            <w:pPr>
              <w:pStyle w:val="TableContents"/>
              <w:bidi w:val="0"/>
              <w:spacing w:before="0" w:after="1"/>
              <w:jc w:val="left"/>
              <w:rPr/>
            </w:pPr>
            <w:r>
              <w:rPr/>
              <w:t xml:space="preserve">  </w:t>
            </w:r>
          </w:p>
        </w:tc>
        <w:tc>
          <w:tcPr>
            <w:tcW w:w="826" w:type="dxa"/>
            <w:tcBorders/>
            <w:vAlign w:val="center"/>
          </w:tcPr>
          <w:p>
            <w:pPr>
              <w:pStyle w:val="TableContents"/>
              <w:bidi w:val="0"/>
              <w:spacing w:before="0" w:after="1"/>
              <w:ind w:left="0" w:right="60" w:hanging="0"/>
              <w:jc w:val="right"/>
              <w:rPr/>
            </w:pPr>
            <w:r>
              <w:rPr>
                <w:rFonts w:ascii="Times New Roman" w:hAnsi="Times New Roman"/>
                <w:color w:val="000000"/>
                <w:sz w:val="18"/>
              </w:rPr>
              <w:t>1.45%</w:t>
            </w:r>
            <w:r>
              <w:rPr/>
              <w:t xml:space="preserve"> </w:t>
            </w:r>
          </w:p>
        </w:tc>
      </w:tr>
      <w:tr>
        <w:trPr/>
        <w:tc>
          <w:tcPr>
            <w:tcW w:w="2851" w:type="dxa"/>
            <w:tcBorders/>
            <w:vAlign w:val="center"/>
          </w:tcPr>
          <w:p>
            <w:pPr>
              <w:pStyle w:val="TableContents"/>
              <w:bidi w:val="0"/>
              <w:spacing w:before="0" w:after="1"/>
              <w:jc w:val="left"/>
              <w:rPr/>
            </w:pPr>
            <w:r>
              <w:rPr>
                <w:rFonts w:ascii="Times New Roman" w:hAnsi="Times New Roman"/>
                <w:color w:val="000000"/>
                <w:sz w:val="18"/>
              </w:rPr>
              <w:t>Certificates of deposit</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94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36,017</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1.48%</w:t>
            </w:r>
            <w:r>
              <w:rPr/>
              <w:t xml:space="preserve"> </w:t>
            </w:r>
          </w:p>
        </w:tc>
        <w:tc>
          <w:tcPr>
            <w:tcW w:w="206" w:type="dxa"/>
            <w:tcBorders/>
            <w:vAlign w:val="center"/>
          </w:tcPr>
          <w:p>
            <w:pPr>
              <w:pStyle w:val="TableContents"/>
              <w:bidi w:val="0"/>
              <w:spacing w:before="0" w:after="1"/>
              <w:jc w:val="left"/>
              <w:rPr/>
            </w:pPr>
            <w:r>
              <w:rPr/>
              <w:t xml:space="preserve">  </w:t>
            </w:r>
          </w:p>
        </w:tc>
        <w:tc>
          <w:tcPr>
            <w:tcW w:w="781"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1.88%</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94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159,010</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6.88%</w:t>
            </w:r>
            <w:r>
              <w:rPr/>
              <w:t xml:space="preserve"> </w:t>
            </w:r>
          </w:p>
        </w:tc>
        <w:tc>
          <w:tcPr>
            <w:tcW w:w="206" w:type="dxa"/>
            <w:tcBorders/>
            <w:vAlign w:val="center"/>
          </w:tcPr>
          <w:p>
            <w:pPr>
              <w:pStyle w:val="TableContents"/>
              <w:bidi w:val="0"/>
              <w:spacing w:before="0" w:after="1"/>
              <w:jc w:val="left"/>
              <w:rPr/>
            </w:pPr>
            <w:r>
              <w:rPr/>
              <w:t xml:space="preserve">  </w:t>
            </w:r>
          </w:p>
        </w:tc>
        <w:tc>
          <w:tcPr>
            <w:tcW w:w="826"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3.46%</w:t>
            </w:r>
            <w:r>
              <w:rPr/>
              <w:t xml:space="preserve"> </w:t>
            </w:r>
          </w:p>
        </w:tc>
      </w:tr>
      <w:tr>
        <w:trPr/>
        <w:tc>
          <w:tcPr>
            <w:tcW w:w="2851" w:type="dxa"/>
            <w:tcBorders/>
            <w:vAlign w:val="center"/>
          </w:tcPr>
          <w:p>
            <w:pPr>
              <w:pStyle w:val="TableContents"/>
              <w:bidi w:val="0"/>
              <w:spacing w:before="0" w:after="1"/>
              <w:jc w:val="left"/>
              <w:rPr/>
            </w:pPr>
            <w:r>
              <w:rPr>
                <w:rFonts w:ascii="Times New Roman" w:hAnsi="Times New Roman"/>
                <w:color w:val="000000"/>
                <w:sz w:val="18"/>
              </w:rPr>
              <w:t>Total</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46"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2,431,191</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100.00%</w:t>
            </w:r>
            <w:r>
              <w:rPr/>
              <w:t xml:space="preserve"> </w:t>
            </w:r>
          </w:p>
        </w:tc>
        <w:tc>
          <w:tcPr>
            <w:tcW w:w="206" w:type="dxa"/>
            <w:tcBorders/>
            <w:vAlign w:val="center"/>
          </w:tcPr>
          <w:p>
            <w:pPr>
              <w:pStyle w:val="TableContents"/>
              <w:bidi w:val="0"/>
              <w:spacing w:before="0" w:after="1"/>
              <w:jc w:val="left"/>
              <w:rPr/>
            </w:pPr>
            <w:r>
              <w:rPr/>
              <w:t xml:space="preserve">  </w:t>
            </w:r>
          </w:p>
        </w:tc>
        <w:tc>
          <w:tcPr>
            <w:tcW w:w="781"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0.92%</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46"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2,310,373</w:t>
            </w:r>
            <w:r>
              <w:rPr/>
              <w:t xml:space="preserve"> </w:t>
            </w:r>
          </w:p>
        </w:tc>
        <w:tc>
          <w:tcPr>
            <w:tcW w:w="206" w:type="dxa"/>
            <w:tcBorders/>
            <w:vAlign w:val="center"/>
          </w:tcPr>
          <w:p>
            <w:pPr>
              <w:pStyle w:val="TableContents"/>
              <w:bidi w:val="0"/>
              <w:spacing w:before="0" w:after="1"/>
              <w:jc w:val="left"/>
              <w:rPr/>
            </w:pPr>
            <w:r>
              <w:rPr/>
              <w:t xml:space="preserve">  </w:t>
            </w:r>
          </w:p>
        </w:tc>
        <w:tc>
          <w:tcPr>
            <w:tcW w:w="871"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100.00%</w:t>
            </w:r>
            <w:r>
              <w:rPr/>
              <w:t xml:space="preserve"> </w:t>
            </w:r>
          </w:p>
        </w:tc>
        <w:tc>
          <w:tcPr>
            <w:tcW w:w="206" w:type="dxa"/>
            <w:tcBorders/>
            <w:vAlign w:val="center"/>
          </w:tcPr>
          <w:p>
            <w:pPr>
              <w:pStyle w:val="TableContents"/>
              <w:bidi w:val="0"/>
              <w:spacing w:before="0" w:after="1"/>
              <w:jc w:val="left"/>
              <w:rPr/>
            </w:pPr>
            <w:r>
              <w:rPr/>
              <w:t xml:space="preserve">  </w:t>
            </w:r>
          </w:p>
        </w:tc>
        <w:tc>
          <w:tcPr>
            <w:tcW w:w="826"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1.12%</w:t>
            </w:r>
            <w:r>
              <w:rPr/>
              <w:t xml:space="preserve"> </w:t>
            </w:r>
          </w:p>
        </w:tc>
      </w:tr>
    </w:tbl>
    <w:p>
      <w:pPr>
        <w:pStyle w:val="TextBody"/>
        <w:bidi w:val="0"/>
        <w:spacing w:before="0" w:after="60"/>
        <w:ind w:left="432" w:right="0" w:hanging="0"/>
        <w:jc w:val="both"/>
        <w:rPr/>
      </w:pPr>
      <w:r>
        <w:rPr/>
        <w:t xml:space="preserve">  </w:t>
      </w:r>
    </w:p>
    <w:p>
      <w:pPr>
        <w:pStyle w:val="TextBody"/>
        <w:bidi w:val="0"/>
        <w:spacing w:before="0" w:after="60"/>
        <w:jc w:val="both"/>
        <w:rPr/>
      </w:pPr>
      <w:r>
        <w:rPr/>
        <w:t xml:space="preserve">  </w:t>
      </w:r>
    </w:p>
    <w:p>
      <w:pPr>
        <w:pStyle w:val="TextBody"/>
        <w:bidi w:val="0"/>
        <w:spacing w:before="0" w:after="0"/>
        <w:jc w:val="center"/>
        <w:rPr/>
      </w:pPr>
      <w:r>
        <w:rPr/>
        <w:t xml:space="preserve">  </w:t>
      </w:r>
    </w:p>
    <w:p>
      <w:pPr>
        <w:pStyle w:val="TextBody"/>
        <w:bidi w:val="0"/>
        <w:spacing w:before="0" w:after="0"/>
        <w:jc w:val="center"/>
        <w:rPr/>
      </w:pPr>
      <w:r>
        <w:rPr/>
        <w:t xml:space="preserve">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0"/>
        <w:jc w:val="center"/>
        <w:rPr/>
      </w:pPr>
      <w:r>
        <w:rPr>
          <w:rFonts w:ascii="Times New Roman" w:hAnsi="Times New Roman"/>
          <w:b/>
          <w:sz w:val="20"/>
        </w:rPr>
        <w:t>ORANGE COUNTY BANCORP, INC.</w:t>
      </w:r>
      <w:r>
        <w:rPr/>
        <w:t xml:space="preserve"> </w:t>
      </w:r>
    </w:p>
    <w:p>
      <w:pPr>
        <w:pStyle w:val="TextBody"/>
        <w:bidi w:val="0"/>
        <w:spacing w:before="0" w:after="0"/>
        <w:jc w:val="center"/>
        <w:rPr/>
      </w:pPr>
      <w:r>
        <w:rPr>
          <w:rFonts w:ascii="Times New Roman" w:hAnsi="Times New Roman"/>
          <w:b/>
          <w:sz w:val="20"/>
        </w:rPr>
        <w:t>NON-PERFORMING ASSETS</w:t>
      </w:r>
      <w:r>
        <w:rPr/>
        <w:t xml:space="preserve"> </w:t>
      </w:r>
    </w:p>
    <w:p>
      <w:pPr>
        <w:pStyle w:val="TextBody"/>
        <w:bidi w:val="0"/>
        <w:spacing w:before="0" w:after="0"/>
        <w:jc w:val="center"/>
        <w:rPr/>
      </w:pPr>
      <w:r>
        <w:rPr>
          <w:rFonts w:ascii="Times New Roman" w:hAnsi="Times New Roman"/>
          <w:b/>
          <w:sz w:val="20"/>
        </w:rPr>
        <w:t>(UNAUDITED)</w:t>
      </w:r>
      <w:r>
        <w:rPr/>
        <w:t xml:space="preserve"> </w:t>
      </w:r>
    </w:p>
    <w:p>
      <w:pPr>
        <w:pStyle w:val="TextBody"/>
        <w:bidi w:val="0"/>
        <w:spacing w:before="0" w:after="0"/>
        <w:jc w:val="center"/>
        <w:rPr/>
      </w:pPr>
      <w:r>
        <w:rPr>
          <w:rFonts w:ascii="Times New Roman" w:hAnsi="Times New Roman"/>
          <w:sz w:val="16"/>
        </w:rPr>
        <w:t>(Dollar amounts in thousands)</w:t>
      </w:r>
      <w:r>
        <w:rPr/>
        <w:t xml:space="preserve"> </w:t>
      </w:r>
    </w:p>
    <w:tbl>
      <w:tblPr>
        <w:tblW w:w="5740" w:type="dxa"/>
        <w:jc w:val="left"/>
        <w:tblInd w:w="0" w:type="dxa"/>
        <w:tblLayout w:type="fixed"/>
        <w:tblCellMar>
          <w:top w:w="28" w:type="dxa"/>
          <w:left w:w="28" w:type="dxa"/>
          <w:bottom w:w="28" w:type="dxa"/>
          <w:right w:w="28" w:type="dxa"/>
        </w:tblCellMar>
      </w:tblPr>
      <w:tblGrid>
        <w:gridCol w:w="3151"/>
        <w:gridCol w:w="206"/>
        <w:gridCol w:w="256"/>
        <w:gridCol w:w="721"/>
        <w:gridCol w:w="206"/>
        <w:gridCol w:w="300"/>
        <w:gridCol w:w="900"/>
      </w:tblGrid>
      <w:tr>
        <w:trPr/>
        <w:tc>
          <w:tcPr>
            <w:tcW w:w="315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72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vAlign w:val="center"/>
          </w:tcPr>
          <w:p>
            <w:pPr>
              <w:pStyle w:val="TableContents"/>
              <w:bidi w:val="0"/>
              <w:spacing w:before="0" w:after="1"/>
              <w:jc w:val="left"/>
              <w:rPr/>
            </w:pPr>
            <w:r>
              <w:rPr/>
              <w:t xml:space="preserve">  </w:t>
            </w:r>
          </w:p>
        </w:tc>
        <w:tc>
          <w:tcPr>
            <w:tcW w:w="900" w:type="dxa"/>
            <w:tcBorders/>
            <w:vAlign w:val="center"/>
          </w:tcPr>
          <w:p>
            <w:pPr>
              <w:pStyle w:val="TableContents"/>
              <w:bidi w:val="0"/>
              <w:spacing w:before="0" w:after="1"/>
              <w:jc w:val="left"/>
              <w:rPr/>
            </w:pPr>
            <w:r>
              <w:rPr/>
              <w:t xml:space="preserve">  </w:t>
            </w:r>
          </w:p>
        </w:tc>
      </w:tr>
      <w:tr>
        <w:trPr/>
        <w:tc>
          <w:tcPr>
            <w:tcW w:w="315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977"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June 30,</w:t>
            </w:r>
            <w:r>
              <w:rPr/>
              <w:t xml:space="preserve"> </w:t>
            </w:r>
          </w:p>
        </w:tc>
        <w:tc>
          <w:tcPr>
            <w:tcW w:w="206" w:type="dxa"/>
            <w:tcBorders/>
            <w:vAlign w:val="center"/>
          </w:tcPr>
          <w:p>
            <w:pPr>
              <w:pStyle w:val="TableContents"/>
              <w:bidi w:val="0"/>
              <w:spacing w:before="0" w:after="1"/>
              <w:jc w:val="center"/>
              <w:rPr/>
            </w:pPr>
            <w:r>
              <w:rPr/>
              <w:t xml:space="preserve">  </w:t>
            </w:r>
          </w:p>
        </w:tc>
        <w:tc>
          <w:tcPr>
            <w:tcW w:w="1200"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December 31,</w:t>
            </w:r>
            <w:r>
              <w:rPr/>
              <w:t xml:space="preserve"> </w:t>
            </w:r>
          </w:p>
        </w:tc>
      </w:tr>
      <w:tr>
        <w:trPr/>
        <w:tc>
          <w:tcPr>
            <w:tcW w:w="315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977"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2026</w:t>
            </w:r>
            <w:r>
              <w:rPr/>
              <w:t xml:space="preserve"> </w:t>
            </w:r>
          </w:p>
        </w:tc>
        <w:tc>
          <w:tcPr>
            <w:tcW w:w="206" w:type="dxa"/>
            <w:tcBorders/>
            <w:vAlign w:val="center"/>
          </w:tcPr>
          <w:p>
            <w:pPr>
              <w:pStyle w:val="TableContents"/>
              <w:bidi w:val="0"/>
              <w:spacing w:before="0" w:after="1"/>
              <w:jc w:val="center"/>
              <w:rPr/>
            </w:pPr>
            <w:r>
              <w:rPr/>
              <w:t xml:space="preserve">  </w:t>
            </w:r>
          </w:p>
        </w:tc>
        <w:tc>
          <w:tcPr>
            <w:tcW w:w="1200" w:type="dxa"/>
            <w:gridSpan w:val="2"/>
            <w:tcBorders>
              <w:bottom w:val="single" w:sz="8" w:space="0" w:color="000000"/>
            </w:tcBorders>
            <w:tcMar>
              <w:top w:w="0" w:type="dxa"/>
              <w:left w:w="0" w:type="dxa"/>
              <w:right w:w="0" w:type="dxa"/>
            </w:tcMar>
            <w:vAlign w:val="center"/>
          </w:tcPr>
          <w:p>
            <w:pPr>
              <w:pStyle w:val="TableContents"/>
              <w:bidi w:val="0"/>
              <w:spacing w:before="0" w:after="1"/>
              <w:jc w:val="center"/>
              <w:rPr/>
            </w:pPr>
            <w:r>
              <w:rPr>
                <w:rFonts w:ascii="Times New Roman" w:hAnsi="Times New Roman"/>
                <w:b/>
                <w:color w:val="000000"/>
                <w:sz w:val="16"/>
              </w:rPr>
              <w:t>2025</w:t>
            </w:r>
            <w:r>
              <w:rPr/>
              <w:t xml:space="preserve"> </w:t>
            </w:r>
          </w:p>
        </w:tc>
      </w:tr>
      <w:tr>
        <w:trPr/>
        <w:tc>
          <w:tcPr>
            <w:tcW w:w="3151" w:type="dxa"/>
            <w:tcBorders/>
            <w:vAlign w:val="center"/>
          </w:tcPr>
          <w:p>
            <w:pPr>
              <w:pStyle w:val="TableContents"/>
              <w:bidi w:val="0"/>
              <w:spacing w:before="0" w:after="1"/>
              <w:jc w:val="left"/>
              <w:rPr/>
            </w:pPr>
            <w:r>
              <w:rPr>
                <w:rFonts w:ascii="Times New Roman" w:hAnsi="Times New Roman"/>
                <w:color w:val="000000"/>
                <w:sz w:val="18"/>
              </w:rPr>
              <w:t>Non-accrual loans:</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72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vAlign w:val="center"/>
          </w:tcPr>
          <w:p>
            <w:pPr>
              <w:pStyle w:val="TableContents"/>
              <w:bidi w:val="0"/>
              <w:spacing w:before="0" w:after="1"/>
              <w:jc w:val="left"/>
              <w:rPr/>
            </w:pPr>
            <w:r>
              <w:rPr/>
              <w:t xml:space="preserve">  </w:t>
            </w:r>
          </w:p>
        </w:tc>
        <w:tc>
          <w:tcPr>
            <w:tcW w:w="900" w:type="dxa"/>
            <w:tcBorders/>
            <w:vAlign w:val="center"/>
          </w:tcPr>
          <w:p>
            <w:pPr>
              <w:pStyle w:val="TableContents"/>
              <w:bidi w:val="0"/>
              <w:spacing w:before="0" w:after="1"/>
              <w:jc w:val="left"/>
              <w:rPr/>
            </w:pPr>
            <w:r>
              <w:rPr/>
              <w:t xml:space="preserve">  </w:t>
            </w:r>
          </w:p>
        </w:tc>
      </w:tr>
      <w:tr>
        <w:trPr/>
        <w:tc>
          <w:tcPr>
            <w:tcW w:w="31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Commercial and industrial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721" w:type="dxa"/>
            <w:tcBorders/>
            <w:vAlign w:val="center"/>
          </w:tcPr>
          <w:p>
            <w:pPr>
              <w:pStyle w:val="TableContents"/>
              <w:bidi w:val="0"/>
              <w:spacing w:before="0" w:after="1"/>
              <w:ind w:left="0" w:right="60" w:hanging="0"/>
              <w:jc w:val="right"/>
              <w:rPr/>
            </w:pPr>
            <w:r>
              <w:rPr>
                <w:rFonts w:ascii="Times New Roman" w:hAnsi="Times New Roman"/>
                <w:color w:val="000000"/>
                <w:sz w:val="18"/>
              </w:rPr>
              <w:t>2,388</w:t>
            </w: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00" w:type="dxa"/>
            <w:tcBorders/>
            <w:vAlign w:val="center"/>
          </w:tcPr>
          <w:p>
            <w:pPr>
              <w:pStyle w:val="TableContents"/>
              <w:bidi w:val="0"/>
              <w:spacing w:before="0" w:after="1"/>
              <w:ind w:left="0" w:right="60" w:hanging="0"/>
              <w:jc w:val="right"/>
              <w:rPr/>
            </w:pPr>
            <w:r>
              <w:rPr>
                <w:rFonts w:ascii="Times New Roman" w:hAnsi="Times New Roman"/>
                <w:color w:val="000000"/>
                <w:sz w:val="18"/>
              </w:rPr>
              <w:t>1,577</w:t>
            </w:r>
            <w:r>
              <w:rPr/>
              <w:t xml:space="preserve"> </w:t>
            </w:r>
          </w:p>
        </w:tc>
      </w:tr>
      <w:tr>
        <w:trPr/>
        <w:tc>
          <w:tcPr>
            <w:tcW w:w="31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Commercial real estate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721" w:type="dxa"/>
            <w:tcBorders/>
            <w:vAlign w:val="center"/>
          </w:tcPr>
          <w:p>
            <w:pPr>
              <w:pStyle w:val="TableContents"/>
              <w:bidi w:val="0"/>
              <w:spacing w:before="0" w:after="1"/>
              <w:ind w:left="0" w:right="60" w:hanging="0"/>
              <w:jc w:val="right"/>
              <w:rPr/>
            </w:pPr>
            <w:r>
              <w:rPr>
                <w:rFonts w:ascii="Times New Roman" w:hAnsi="Times New Roman"/>
                <w:color w:val="000000"/>
                <w:sz w:val="18"/>
              </w:rPr>
              <w:t>15,618</w:t>
            </w: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vAlign w:val="center"/>
          </w:tcPr>
          <w:p>
            <w:pPr>
              <w:pStyle w:val="TableContents"/>
              <w:bidi w:val="0"/>
              <w:spacing w:before="0" w:after="1"/>
              <w:jc w:val="left"/>
              <w:rPr/>
            </w:pPr>
            <w:r>
              <w:rPr/>
              <w:t xml:space="preserve">  </w:t>
            </w:r>
          </w:p>
        </w:tc>
        <w:tc>
          <w:tcPr>
            <w:tcW w:w="900" w:type="dxa"/>
            <w:tcBorders/>
            <w:vAlign w:val="center"/>
          </w:tcPr>
          <w:p>
            <w:pPr>
              <w:pStyle w:val="TableContents"/>
              <w:bidi w:val="0"/>
              <w:spacing w:before="0" w:after="1"/>
              <w:ind w:left="0" w:right="60" w:hanging="0"/>
              <w:jc w:val="right"/>
              <w:rPr/>
            </w:pPr>
            <w:r>
              <w:rPr>
                <w:rFonts w:ascii="Times New Roman" w:hAnsi="Times New Roman"/>
                <w:color w:val="000000"/>
                <w:sz w:val="18"/>
              </w:rPr>
              <w:t>8,690</w:t>
            </w:r>
            <w:r>
              <w:rPr/>
              <w:t xml:space="preserve"> </w:t>
            </w:r>
          </w:p>
        </w:tc>
      </w:tr>
      <w:tr>
        <w:trPr/>
        <w:tc>
          <w:tcPr>
            <w:tcW w:w="31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Commercial real estate construction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721" w:type="dxa"/>
            <w:tcBorders/>
            <w:vAlign w:val="center"/>
          </w:tcPr>
          <w:p>
            <w:pPr>
              <w:pStyle w:val="TableContents"/>
              <w:bidi w:val="0"/>
              <w:spacing w:before="0" w:after="1"/>
              <w:ind w:left="0" w:right="60" w:hanging="0"/>
              <w:jc w:val="right"/>
              <w:rPr/>
            </w:pPr>
            <w:r>
              <w:rPr>
                <w:rFonts w:ascii="Times New Roman" w:hAnsi="Times New Roman"/>
                <w:color w:val="000000"/>
                <w:sz w:val="18"/>
              </w:rPr>
              <w:t>-</w:t>
            </w: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vAlign w:val="center"/>
          </w:tcPr>
          <w:p>
            <w:pPr>
              <w:pStyle w:val="TableContents"/>
              <w:bidi w:val="0"/>
              <w:spacing w:before="0" w:after="1"/>
              <w:jc w:val="left"/>
              <w:rPr/>
            </w:pPr>
            <w:r>
              <w:rPr/>
              <w:t xml:space="preserve">  </w:t>
            </w:r>
          </w:p>
        </w:tc>
        <w:tc>
          <w:tcPr>
            <w:tcW w:w="900" w:type="dxa"/>
            <w:tcBorders/>
            <w:vAlign w:val="center"/>
          </w:tcPr>
          <w:p>
            <w:pPr>
              <w:pStyle w:val="TableContents"/>
              <w:bidi w:val="0"/>
              <w:spacing w:before="0" w:after="1"/>
              <w:ind w:left="0" w:right="60" w:hanging="0"/>
              <w:jc w:val="right"/>
              <w:rPr/>
            </w:pPr>
            <w:r>
              <w:rPr>
                <w:rFonts w:ascii="Times New Roman" w:hAnsi="Times New Roman"/>
                <w:color w:val="000000"/>
                <w:sz w:val="18"/>
              </w:rPr>
              <w:t>-</w:t>
            </w:r>
            <w:r>
              <w:rPr/>
              <w:t xml:space="preserve"> </w:t>
            </w:r>
          </w:p>
        </w:tc>
      </w:tr>
      <w:tr>
        <w:trPr/>
        <w:tc>
          <w:tcPr>
            <w:tcW w:w="31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Residential real estate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721" w:type="dxa"/>
            <w:tcBorders/>
            <w:vAlign w:val="center"/>
          </w:tcPr>
          <w:p>
            <w:pPr>
              <w:pStyle w:val="TableContents"/>
              <w:bidi w:val="0"/>
              <w:spacing w:before="0" w:after="1"/>
              <w:ind w:left="0" w:right="60" w:hanging="0"/>
              <w:jc w:val="right"/>
              <w:rPr/>
            </w:pPr>
            <w:r>
              <w:rPr>
                <w:rFonts w:ascii="Times New Roman" w:hAnsi="Times New Roman"/>
                <w:color w:val="000000"/>
                <w:sz w:val="18"/>
              </w:rPr>
              <w:t>-</w:t>
            </w: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vAlign w:val="center"/>
          </w:tcPr>
          <w:p>
            <w:pPr>
              <w:pStyle w:val="TableContents"/>
              <w:bidi w:val="0"/>
              <w:spacing w:before="0" w:after="1"/>
              <w:jc w:val="left"/>
              <w:rPr/>
            </w:pPr>
            <w:r>
              <w:rPr/>
              <w:t xml:space="preserve">  </w:t>
            </w:r>
          </w:p>
        </w:tc>
        <w:tc>
          <w:tcPr>
            <w:tcW w:w="900" w:type="dxa"/>
            <w:tcBorders/>
            <w:vAlign w:val="center"/>
          </w:tcPr>
          <w:p>
            <w:pPr>
              <w:pStyle w:val="TableContents"/>
              <w:bidi w:val="0"/>
              <w:spacing w:before="0" w:after="1"/>
              <w:ind w:left="0" w:right="60" w:hanging="0"/>
              <w:jc w:val="right"/>
              <w:rPr/>
            </w:pPr>
            <w:r>
              <w:rPr>
                <w:rFonts w:ascii="Times New Roman" w:hAnsi="Times New Roman"/>
                <w:color w:val="000000"/>
                <w:sz w:val="18"/>
              </w:rPr>
              <w:t>1</w:t>
            </w:r>
            <w:r>
              <w:rPr/>
              <w:t xml:space="preserve"> </w:t>
            </w:r>
          </w:p>
        </w:tc>
      </w:tr>
      <w:tr>
        <w:trPr/>
        <w:tc>
          <w:tcPr>
            <w:tcW w:w="31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Home equity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721" w:type="dxa"/>
            <w:tcBorders/>
            <w:vAlign w:val="center"/>
          </w:tcPr>
          <w:p>
            <w:pPr>
              <w:pStyle w:val="TableContents"/>
              <w:bidi w:val="0"/>
              <w:spacing w:before="0" w:after="1"/>
              <w:ind w:left="0" w:right="60" w:hanging="0"/>
              <w:jc w:val="right"/>
              <w:rPr/>
            </w:pPr>
            <w:r>
              <w:rPr>
                <w:rFonts w:ascii="Times New Roman" w:hAnsi="Times New Roman"/>
                <w:color w:val="000000"/>
                <w:sz w:val="18"/>
              </w:rPr>
              <w:t>833</w:t>
            </w: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vAlign w:val="center"/>
          </w:tcPr>
          <w:p>
            <w:pPr>
              <w:pStyle w:val="TableContents"/>
              <w:bidi w:val="0"/>
              <w:spacing w:before="0" w:after="1"/>
              <w:jc w:val="left"/>
              <w:rPr/>
            </w:pPr>
            <w:r>
              <w:rPr/>
              <w:t xml:space="preserve">  </w:t>
            </w:r>
          </w:p>
        </w:tc>
        <w:tc>
          <w:tcPr>
            <w:tcW w:w="900" w:type="dxa"/>
            <w:tcBorders/>
            <w:vAlign w:val="center"/>
          </w:tcPr>
          <w:p>
            <w:pPr>
              <w:pStyle w:val="TableContents"/>
              <w:bidi w:val="0"/>
              <w:spacing w:before="0" w:after="1"/>
              <w:ind w:left="0" w:right="60" w:hanging="0"/>
              <w:jc w:val="right"/>
              <w:rPr/>
            </w:pPr>
            <w:r>
              <w:rPr>
                <w:rFonts w:ascii="Times New Roman" w:hAnsi="Times New Roman"/>
                <w:color w:val="000000"/>
                <w:sz w:val="18"/>
              </w:rPr>
              <w:t>844</w:t>
            </w:r>
            <w:r>
              <w:rPr/>
              <w:t xml:space="preserve"> </w:t>
            </w:r>
          </w:p>
        </w:tc>
      </w:tr>
      <w:tr>
        <w:trPr/>
        <w:tc>
          <w:tcPr>
            <w:tcW w:w="31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Consumer </w:t>
            </w:r>
          </w:p>
        </w:tc>
        <w:tc>
          <w:tcPr>
            <w:tcW w:w="206" w:type="dxa"/>
            <w:tcBorders/>
            <w:vAlign w:val="center"/>
          </w:tcPr>
          <w:p>
            <w:pPr>
              <w:pStyle w:val="TableContents"/>
              <w:bidi w:val="0"/>
              <w:spacing w:before="0" w:after="1"/>
              <w:jc w:val="left"/>
              <w:rPr/>
            </w:pPr>
            <w:r>
              <w:rPr/>
              <w:t xml:space="preserve">  </w:t>
            </w:r>
          </w:p>
        </w:tc>
        <w:tc>
          <w:tcPr>
            <w:tcW w:w="256"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721"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w:t>
            </w: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900"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w:t>
            </w:r>
            <w:r>
              <w:rPr/>
              <w:t xml:space="preserve"> </w:t>
            </w:r>
          </w:p>
        </w:tc>
      </w:tr>
      <w:tr>
        <w:trPr/>
        <w:tc>
          <w:tcPr>
            <w:tcW w:w="3151" w:type="dxa"/>
            <w:tcBorders/>
            <w:vAlign w:val="center"/>
          </w:tcPr>
          <w:p>
            <w:pPr>
              <w:pStyle w:val="TableContents"/>
              <w:bidi w:val="0"/>
              <w:spacing w:before="0" w:after="1"/>
              <w:jc w:val="left"/>
              <w:rPr/>
            </w:pPr>
            <w:r>
              <w:rPr>
                <w:color w:val="000000"/>
              </w:rPr>
              <w:t>  </w:t>
            </w:r>
            <w:r>
              <w:rPr>
                <w:rFonts w:ascii="Times New Roman" w:hAnsi="Times New Roman"/>
                <w:color w:val="000000"/>
                <w:sz w:val="18"/>
              </w:rPr>
              <w:t>Total non-accrual loans</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721"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18,839</w:t>
            </w: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900"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11,112</w:t>
            </w:r>
            <w:r>
              <w:rPr/>
              <w:t xml:space="preserve"> </w:t>
            </w:r>
          </w:p>
        </w:tc>
      </w:tr>
      <w:tr>
        <w:trPr/>
        <w:tc>
          <w:tcPr>
            <w:tcW w:w="3151" w:type="dxa"/>
            <w:tcBorders/>
            <w:vAlign w:val="center"/>
          </w:tcPr>
          <w:p>
            <w:pPr>
              <w:pStyle w:val="TableContents"/>
              <w:bidi w:val="0"/>
              <w:spacing w:before="0" w:after="1"/>
              <w:jc w:val="left"/>
              <w:rPr/>
            </w:pPr>
            <w:r>
              <w:rPr>
                <w:rFonts w:ascii="Times New Roman" w:hAnsi="Times New Roman"/>
                <w:color w:val="000000"/>
                <w:sz w:val="18"/>
              </w:rPr>
              <w:t>Accruing loans 90 days or more past due:</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72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vAlign w:val="center"/>
          </w:tcPr>
          <w:p>
            <w:pPr>
              <w:pStyle w:val="TableContents"/>
              <w:bidi w:val="0"/>
              <w:spacing w:before="0" w:after="1"/>
              <w:jc w:val="left"/>
              <w:rPr/>
            </w:pPr>
            <w:r>
              <w:rPr/>
              <w:t xml:space="preserve">  </w:t>
            </w:r>
          </w:p>
        </w:tc>
        <w:tc>
          <w:tcPr>
            <w:tcW w:w="900" w:type="dxa"/>
            <w:tcBorders/>
            <w:vAlign w:val="center"/>
          </w:tcPr>
          <w:p>
            <w:pPr>
              <w:pStyle w:val="TableContents"/>
              <w:bidi w:val="0"/>
              <w:spacing w:before="0" w:after="1"/>
              <w:jc w:val="left"/>
              <w:rPr/>
            </w:pPr>
            <w:r>
              <w:rPr/>
              <w:t xml:space="preserve">  </w:t>
            </w:r>
          </w:p>
        </w:tc>
      </w:tr>
      <w:tr>
        <w:trPr/>
        <w:tc>
          <w:tcPr>
            <w:tcW w:w="31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Commercial and industrial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721" w:type="dxa"/>
            <w:tcBorders/>
            <w:vAlign w:val="center"/>
          </w:tcPr>
          <w:p>
            <w:pPr>
              <w:pStyle w:val="TableContents"/>
              <w:bidi w:val="0"/>
              <w:spacing w:before="0" w:after="1"/>
              <w:ind w:left="0" w:right="60" w:hanging="0"/>
              <w:jc w:val="right"/>
              <w:rPr/>
            </w:pPr>
            <w:r>
              <w:rPr>
                <w:rFonts w:ascii="Times New Roman" w:hAnsi="Times New Roman"/>
                <w:color w:val="000000"/>
                <w:sz w:val="18"/>
              </w:rPr>
              <w:t>150</w:t>
            </w: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vAlign w:val="center"/>
          </w:tcPr>
          <w:p>
            <w:pPr>
              <w:pStyle w:val="TableContents"/>
              <w:bidi w:val="0"/>
              <w:spacing w:before="0" w:after="1"/>
              <w:jc w:val="left"/>
              <w:rPr/>
            </w:pPr>
            <w:r>
              <w:rPr/>
              <w:t xml:space="preserve">  </w:t>
            </w:r>
          </w:p>
        </w:tc>
        <w:tc>
          <w:tcPr>
            <w:tcW w:w="900" w:type="dxa"/>
            <w:tcBorders/>
            <w:vAlign w:val="center"/>
          </w:tcPr>
          <w:p>
            <w:pPr>
              <w:pStyle w:val="TableContents"/>
              <w:bidi w:val="0"/>
              <w:spacing w:before="0" w:after="1"/>
              <w:ind w:left="0" w:right="60" w:hanging="0"/>
              <w:jc w:val="right"/>
              <w:rPr/>
            </w:pPr>
            <w:r>
              <w:rPr>
                <w:rFonts w:ascii="Times New Roman" w:hAnsi="Times New Roman"/>
                <w:color w:val="000000"/>
                <w:sz w:val="18"/>
              </w:rPr>
              <w:t>18</w:t>
            </w:r>
            <w:r>
              <w:rPr/>
              <w:t xml:space="preserve"> </w:t>
            </w:r>
          </w:p>
        </w:tc>
      </w:tr>
      <w:tr>
        <w:trPr/>
        <w:tc>
          <w:tcPr>
            <w:tcW w:w="31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Commercial real estate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721" w:type="dxa"/>
            <w:tcBorders/>
            <w:vAlign w:val="center"/>
          </w:tcPr>
          <w:p>
            <w:pPr>
              <w:pStyle w:val="TableContents"/>
              <w:bidi w:val="0"/>
              <w:spacing w:before="0" w:after="1"/>
              <w:ind w:left="0" w:right="60" w:hanging="0"/>
              <w:jc w:val="right"/>
              <w:rPr/>
            </w:pPr>
            <w:r>
              <w:rPr>
                <w:rFonts w:ascii="Times New Roman" w:hAnsi="Times New Roman"/>
                <w:color w:val="000000"/>
                <w:sz w:val="18"/>
              </w:rPr>
              <w:t>3,171</w:t>
            </w: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vAlign w:val="center"/>
          </w:tcPr>
          <w:p>
            <w:pPr>
              <w:pStyle w:val="TableContents"/>
              <w:bidi w:val="0"/>
              <w:spacing w:before="0" w:after="1"/>
              <w:jc w:val="left"/>
              <w:rPr/>
            </w:pPr>
            <w:r>
              <w:rPr/>
              <w:t xml:space="preserve">  </w:t>
            </w:r>
          </w:p>
        </w:tc>
        <w:tc>
          <w:tcPr>
            <w:tcW w:w="900" w:type="dxa"/>
            <w:tcBorders/>
            <w:vAlign w:val="center"/>
          </w:tcPr>
          <w:p>
            <w:pPr>
              <w:pStyle w:val="TableContents"/>
              <w:bidi w:val="0"/>
              <w:spacing w:before="0" w:after="1"/>
              <w:ind w:left="0" w:right="60" w:hanging="0"/>
              <w:jc w:val="right"/>
              <w:rPr/>
            </w:pPr>
            <w:r>
              <w:rPr>
                <w:rFonts w:ascii="Times New Roman" w:hAnsi="Times New Roman"/>
                <w:color w:val="000000"/>
                <w:sz w:val="18"/>
              </w:rPr>
              <w:t>-</w:t>
            </w:r>
            <w:r>
              <w:rPr/>
              <w:t xml:space="preserve"> </w:t>
            </w:r>
          </w:p>
        </w:tc>
      </w:tr>
      <w:tr>
        <w:trPr/>
        <w:tc>
          <w:tcPr>
            <w:tcW w:w="31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Commercial real estate construction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721" w:type="dxa"/>
            <w:tcBorders/>
            <w:vAlign w:val="center"/>
          </w:tcPr>
          <w:p>
            <w:pPr>
              <w:pStyle w:val="TableContents"/>
              <w:bidi w:val="0"/>
              <w:spacing w:before="0" w:after="1"/>
              <w:ind w:left="0" w:right="60" w:hanging="0"/>
              <w:jc w:val="right"/>
              <w:rPr/>
            </w:pPr>
            <w:r>
              <w:rPr>
                <w:rFonts w:ascii="Times New Roman" w:hAnsi="Times New Roman"/>
                <w:color w:val="000000"/>
                <w:sz w:val="18"/>
              </w:rPr>
              <w:t>-</w:t>
            </w: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vAlign w:val="center"/>
          </w:tcPr>
          <w:p>
            <w:pPr>
              <w:pStyle w:val="TableContents"/>
              <w:bidi w:val="0"/>
              <w:spacing w:before="0" w:after="1"/>
              <w:jc w:val="left"/>
              <w:rPr/>
            </w:pPr>
            <w:r>
              <w:rPr/>
              <w:t xml:space="preserve">  </w:t>
            </w:r>
          </w:p>
        </w:tc>
        <w:tc>
          <w:tcPr>
            <w:tcW w:w="900" w:type="dxa"/>
            <w:tcBorders/>
            <w:vAlign w:val="center"/>
          </w:tcPr>
          <w:p>
            <w:pPr>
              <w:pStyle w:val="TableContents"/>
              <w:bidi w:val="0"/>
              <w:spacing w:before="0" w:after="1"/>
              <w:ind w:left="0" w:right="60" w:hanging="0"/>
              <w:jc w:val="right"/>
              <w:rPr/>
            </w:pPr>
            <w:r>
              <w:rPr>
                <w:rFonts w:ascii="Times New Roman" w:hAnsi="Times New Roman"/>
                <w:color w:val="000000"/>
                <w:sz w:val="18"/>
              </w:rPr>
              <w:t>-</w:t>
            </w:r>
            <w:r>
              <w:rPr/>
              <w:t xml:space="preserve"> </w:t>
            </w:r>
          </w:p>
        </w:tc>
      </w:tr>
      <w:tr>
        <w:trPr/>
        <w:tc>
          <w:tcPr>
            <w:tcW w:w="31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Residential real estate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721" w:type="dxa"/>
            <w:tcBorders/>
            <w:vAlign w:val="center"/>
          </w:tcPr>
          <w:p>
            <w:pPr>
              <w:pStyle w:val="TableContents"/>
              <w:bidi w:val="0"/>
              <w:spacing w:before="0" w:after="1"/>
              <w:ind w:left="0" w:right="60" w:hanging="0"/>
              <w:jc w:val="right"/>
              <w:rPr/>
            </w:pPr>
            <w:r>
              <w:rPr>
                <w:rFonts w:ascii="Times New Roman" w:hAnsi="Times New Roman"/>
                <w:color w:val="000000"/>
                <w:sz w:val="18"/>
              </w:rPr>
              <w:t>-</w:t>
            </w: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vAlign w:val="center"/>
          </w:tcPr>
          <w:p>
            <w:pPr>
              <w:pStyle w:val="TableContents"/>
              <w:bidi w:val="0"/>
              <w:spacing w:before="0" w:after="1"/>
              <w:jc w:val="left"/>
              <w:rPr/>
            </w:pPr>
            <w:r>
              <w:rPr/>
              <w:t xml:space="preserve">  </w:t>
            </w:r>
          </w:p>
        </w:tc>
        <w:tc>
          <w:tcPr>
            <w:tcW w:w="900" w:type="dxa"/>
            <w:tcBorders/>
            <w:vAlign w:val="center"/>
          </w:tcPr>
          <w:p>
            <w:pPr>
              <w:pStyle w:val="TableContents"/>
              <w:bidi w:val="0"/>
              <w:spacing w:before="0" w:after="1"/>
              <w:ind w:left="0" w:right="60" w:hanging="0"/>
              <w:jc w:val="right"/>
              <w:rPr/>
            </w:pPr>
            <w:r>
              <w:rPr>
                <w:rFonts w:ascii="Times New Roman" w:hAnsi="Times New Roman"/>
                <w:color w:val="000000"/>
                <w:sz w:val="18"/>
              </w:rPr>
              <w:t>-</w:t>
            </w:r>
            <w:r>
              <w:rPr/>
              <w:t xml:space="preserve"> </w:t>
            </w:r>
          </w:p>
        </w:tc>
      </w:tr>
      <w:tr>
        <w:trPr/>
        <w:tc>
          <w:tcPr>
            <w:tcW w:w="31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Home equity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721" w:type="dxa"/>
            <w:tcBorders/>
            <w:vAlign w:val="center"/>
          </w:tcPr>
          <w:p>
            <w:pPr>
              <w:pStyle w:val="TableContents"/>
              <w:bidi w:val="0"/>
              <w:spacing w:before="0" w:after="1"/>
              <w:ind w:left="0" w:right="60" w:hanging="0"/>
              <w:jc w:val="right"/>
              <w:rPr/>
            </w:pPr>
            <w:r>
              <w:rPr>
                <w:rFonts w:ascii="Times New Roman" w:hAnsi="Times New Roman"/>
                <w:color w:val="000000"/>
                <w:sz w:val="18"/>
              </w:rPr>
              <w:t>-</w:t>
            </w: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vAlign w:val="center"/>
          </w:tcPr>
          <w:p>
            <w:pPr>
              <w:pStyle w:val="TableContents"/>
              <w:bidi w:val="0"/>
              <w:spacing w:before="0" w:after="1"/>
              <w:jc w:val="left"/>
              <w:rPr/>
            </w:pPr>
            <w:r>
              <w:rPr/>
              <w:t xml:space="preserve">  </w:t>
            </w:r>
          </w:p>
        </w:tc>
        <w:tc>
          <w:tcPr>
            <w:tcW w:w="900" w:type="dxa"/>
            <w:tcBorders/>
            <w:vAlign w:val="center"/>
          </w:tcPr>
          <w:p>
            <w:pPr>
              <w:pStyle w:val="TableContents"/>
              <w:bidi w:val="0"/>
              <w:spacing w:before="0" w:after="1"/>
              <w:ind w:left="0" w:right="60" w:hanging="0"/>
              <w:jc w:val="right"/>
              <w:rPr/>
            </w:pPr>
            <w:r>
              <w:rPr>
                <w:rFonts w:ascii="Times New Roman" w:hAnsi="Times New Roman"/>
                <w:color w:val="000000"/>
                <w:sz w:val="18"/>
              </w:rPr>
              <w:t>-</w:t>
            </w:r>
            <w:r>
              <w:rPr/>
              <w:t xml:space="preserve"> </w:t>
            </w:r>
          </w:p>
        </w:tc>
      </w:tr>
      <w:tr>
        <w:trPr/>
        <w:tc>
          <w:tcPr>
            <w:tcW w:w="31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Consumer </w:t>
            </w:r>
          </w:p>
        </w:tc>
        <w:tc>
          <w:tcPr>
            <w:tcW w:w="206" w:type="dxa"/>
            <w:tcBorders/>
            <w:vAlign w:val="center"/>
          </w:tcPr>
          <w:p>
            <w:pPr>
              <w:pStyle w:val="TableContents"/>
              <w:bidi w:val="0"/>
              <w:spacing w:before="0" w:after="1"/>
              <w:jc w:val="left"/>
              <w:rPr/>
            </w:pPr>
            <w:r>
              <w:rPr/>
              <w:t xml:space="preserve">  </w:t>
            </w:r>
          </w:p>
        </w:tc>
        <w:tc>
          <w:tcPr>
            <w:tcW w:w="256"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721"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w:t>
            </w: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900"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w:t>
            </w:r>
            <w:r>
              <w:rPr/>
              <w:t xml:space="preserve"> </w:t>
            </w:r>
          </w:p>
        </w:tc>
      </w:tr>
      <w:tr>
        <w:trPr/>
        <w:tc>
          <w:tcPr>
            <w:tcW w:w="3151" w:type="dxa"/>
            <w:tcBorders/>
            <w:vAlign w:val="center"/>
          </w:tcPr>
          <w:p>
            <w:pPr>
              <w:pStyle w:val="TableContents"/>
              <w:bidi w:val="0"/>
              <w:spacing w:before="0" w:after="1"/>
              <w:jc w:val="left"/>
              <w:rPr>
                <w:color w:val="000000"/>
              </w:rPr>
            </w:pPr>
            <w:r>
              <w:rPr>
                <w:color w:val="000000"/>
              </w:rPr>
              <w:t>  </w:t>
            </w:r>
            <w:r>
              <w:rPr>
                <w:rFonts w:ascii="Times New Roman" w:hAnsi="Times New Roman"/>
                <w:color w:val="000000"/>
                <w:sz w:val="18"/>
              </w:rPr>
              <w:t xml:space="preserve">Total loans 90 days or more past due </w:t>
            </w:r>
          </w:p>
        </w:tc>
        <w:tc>
          <w:tcPr>
            <w:tcW w:w="206" w:type="dxa"/>
            <w:tcBorders/>
            <w:vAlign w:val="center"/>
          </w:tcPr>
          <w:p>
            <w:pPr>
              <w:pStyle w:val="TableContents"/>
              <w:bidi w:val="0"/>
              <w:spacing w:before="0" w:after="1"/>
              <w:jc w:val="left"/>
              <w:rPr/>
            </w:pPr>
            <w:r>
              <w:rPr/>
              <w:t xml:space="preserve">  </w:t>
            </w:r>
          </w:p>
        </w:tc>
        <w:tc>
          <w:tcPr>
            <w:tcW w:w="256"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721"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3,321</w:t>
            </w: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900"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18</w:t>
            </w:r>
            <w:r>
              <w:rPr/>
              <w:t xml:space="preserve"> </w:t>
            </w:r>
          </w:p>
        </w:tc>
      </w:tr>
      <w:tr>
        <w:trPr/>
        <w:tc>
          <w:tcPr>
            <w:tcW w:w="31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Total non-performing loans </w:t>
            </w:r>
          </w:p>
        </w:tc>
        <w:tc>
          <w:tcPr>
            <w:tcW w:w="206" w:type="dxa"/>
            <w:tcBorders/>
            <w:vAlign w:val="center"/>
          </w:tcPr>
          <w:p>
            <w:pPr>
              <w:pStyle w:val="TableContents"/>
              <w:bidi w:val="0"/>
              <w:spacing w:before="0" w:after="1"/>
              <w:jc w:val="left"/>
              <w:rPr/>
            </w:pPr>
            <w:r>
              <w:rPr/>
              <w:t xml:space="preserve">  </w:t>
            </w:r>
          </w:p>
        </w:tc>
        <w:tc>
          <w:tcPr>
            <w:tcW w:w="256"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721"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22,160</w:t>
            </w: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900"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11,130</w:t>
            </w:r>
            <w:r>
              <w:rPr/>
              <w:t xml:space="preserve"> </w:t>
            </w:r>
          </w:p>
        </w:tc>
      </w:tr>
      <w:tr>
        <w:trPr/>
        <w:tc>
          <w:tcPr>
            <w:tcW w:w="31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Other real estate owned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721" w:type="dxa"/>
            <w:tcBorders/>
            <w:vAlign w:val="center"/>
          </w:tcPr>
          <w:p>
            <w:pPr>
              <w:pStyle w:val="TableContents"/>
              <w:bidi w:val="0"/>
              <w:spacing w:before="0" w:after="1"/>
              <w:ind w:left="0" w:right="60" w:hanging="0"/>
              <w:jc w:val="right"/>
              <w:rPr/>
            </w:pPr>
            <w:r>
              <w:rPr>
                <w:rFonts w:ascii="Times New Roman" w:hAnsi="Times New Roman"/>
                <w:color w:val="000000"/>
                <w:sz w:val="18"/>
              </w:rPr>
              <w:t>-</w:t>
            </w: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vAlign w:val="center"/>
          </w:tcPr>
          <w:p>
            <w:pPr>
              <w:pStyle w:val="TableContents"/>
              <w:bidi w:val="0"/>
              <w:spacing w:before="0" w:after="1"/>
              <w:jc w:val="left"/>
              <w:rPr/>
            </w:pPr>
            <w:r>
              <w:rPr/>
              <w:t xml:space="preserve">  </w:t>
            </w:r>
          </w:p>
        </w:tc>
        <w:tc>
          <w:tcPr>
            <w:tcW w:w="900" w:type="dxa"/>
            <w:tcBorders/>
            <w:vAlign w:val="center"/>
          </w:tcPr>
          <w:p>
            <w:pPr>
              <w:pStyle w:val="TableContents"/>
              <w:bidi w:val="0"/>
              <w:spacing w:before="0" w:after="1"/>
              <w:ind w:left="0" w:right="60" w:hanging="0"/>
              <w:jc w:val="right"/>
              <w:rPr/>
            </w:pPr>
            <w:r>
              <w:rPr>
                <w:rFonts w:ascii="Times New Roman" w:hAnsi="Times New Roman"/>
                <w:color w:val="000000"/>
                <w:sz w:val="18"/>
              </w:rPr>
              <w:t>-</w:t>
            </w:r>
            <w:r>
              <w:rPr/>
              <w:t xml:space="preserve"> </w:t>
            </w:r>
          </w:p>
        </w:tc>
      </w:tr>
      <w:tr>
        <w:trPr/>
        <w:tc>
          <w:tcPr>
            <w:tcW w:w="31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Other non-performing assets </w:t>
            </w:r>
          </w:p>
        </w:tc>
        <w:tc>
          <w:tcPr>
            <w:tcW w:w="206" w:type="dxa"/>
            <w:tcBorders/>
            <w:vAlign w:val="center"/>
          </w:tcPr>
          <w:p>
            <w:pPr>
              <w:pStyle w:val="TableContents"/>
              <w:bidi w:val="0"/>
              <w:spacing w:before="0" w:after="1"/>
              <w:jc w:val="left"/>
              <w:rPr/>
            </w:pPr>
            <w:r>
              <w:rPr/>
              <w:t xml:space="preserve">  </w:t>
            </w:r>
          </w:p>
        </w:tc>
        <w:tc>
          <w:tcPr>
            <w:tcW w:w="256"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721"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w:t>
            </w: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bottom w:val="single" w:sz="8" w:space="0" w:color="000000"/>
            </w:tcBorders>
            <w:tcMar>
              <w:top w:w="0" w:type="dxa"/>
              <w:left w:w="0" w:type="dxa"/>
              <w:right w:w="0" w:type="dxa"/>
            </w:tcMar>
            <w:vAlign w:val="center"/>
          </w:tcPr>
          <w:p>
            <w:pPr>
              <w:pStyle w:val="TableContents"/>
              <w:bidi w:val="0"/>
              <w:spacing w:before="0" w:after="1"/>
              <w:jc w:val="left"/>
              <w:rPr/>
            </w:pPr>
            <w:r>
              <w:rPr/>
              <w:t xml:space="preserve">  </w:t>
            </w:r>
          </w:p>
        </w:tc>
        <w:tc>
          <w:tcPr>
            <w:tcW w:w="900" w:type="dxa"/>
            <w:tcBorders>
              <w:bottom w:val="single" w:sz="8"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w:t>
            </w:r>
            <w:r>
              <w:rPr/>
              <w:t xml:space="preserve"> </w:t>
            </w:r>
          </w:p>
        </w:tc>
      </w:tr>
      <w:tr>
        <w:trPr/>
        <w:tc>
          <w:tcPr>
            <w:tcW w:w="31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Total non-performing assets </w:t>
            </w:r>
          </w:p>
        </w:tc>
        <w:tc>
          <w:tcPr>
            <w:tcW w:w="206" w:type="dxa"/>
            <w:tcBorders/>
            <w:vAlign w:val="center"/>
          </w:tcPr>
          <w:p>
            <w:pPr>
              <w:pStyle w:val="TableContents"/>
              <w:bidi w:val="0"/>
              <w:spacing w:before="0" w:after="1"/>
              <w:jc w:val="left"/>
              <w:rPr/>
            </w:pPr>
            <w:r>
              <w:rPr/>
              <w:t xml:space="preserve">  </w:t>
            </w:r>
          </w:p>
        </w:tc>
        <w:tc>
          <w:tcPr>
            <w:tcW w:w="256"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721"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22,160</w:t>
            </w: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bottom w:val="double" w:sz="6" w:space="0" w:color="000000"/>
            </w:tcBorders>
            <w:tcMar>
              <w:top w:w="0" w:type="dxa"/>
              <w:left w:w="0" w:type="dxa"/>
              <w:right w:w="0" w:type="dxa"/>
            </w:tcMar>
            <w:vAlign w:val="center"/>
          </w:tcPr>
          <w:p>
            <w:pPr>
              <w:pStyle w:val="TableContents"/>
              <w:bidi w:val="0"/>
              <w:spacing w:before="0" w:after="1"/>
              <w:jc w:val="left"/>
              <w:rPr/>
            </w:pPr>
            <w:r>
              <w:rPr>
                <w:rFonts w:ascii="Times New Roman" w:hAnsi="Times New Roman"/>
                <w:color w:val="000000"/>
                <w:sz w:val="18"/>
              </w:rPr>
              <w:t>$</w:t>
            </w:r>
            <w:r>
              <w:rPr/>
              <w:t xml:space="preserve"> </w:t>
            </w:r>
          </w:p>
        </w:tc>
        <w:tc>
          <w:tcPr>
            <w:tcW w:w="900" w:type="dxa"/>
            <w:tcBorders>
              <w:bottom w:val="double" w:sz="6" w:space="0" w:color="000000"/>
            </w:tcBorders>
            <w:tcMar>
              <w:top w:w="0" w:type="dxa"/>
              <w:left w:w="0" w:type="dxa"/>
              <w:right w:w="0" w:type="dxa"/>
            </w:tcMar>
            <w:vAlign w:val="center"/>
          </w:tcPr>
          <w:p>
            <w:pPr>
              <w:pStyle w:val="TableContents"/>
              <w:bidi w:val="0"/>
              <w:spacing w:before="0" w:after="1"/>
              <w:ind w:left="0" w:right="60" w:hanging="0"/>
              <w:jc w:val="right"/>
              <w:rPr/>
            </w:pPr>
            <w:r>
              <w:rPr>
                <w:rFonts w:ascii="Times New Roman" w:hAnsi="Times New Roman"/>
                <w:color w:val="000000"/>
                <w:sz w:val="18"/>
              </w:rPr>
              <w:t>11,130</w:t>
            </w:r>
            <w:r>
              <w:rPr/>
              <w:t xml:space="preserve"> </w:t>
            </w:r>
          </w:p>
        </w:tc>
      </w:tr>
      <w:tr>
        <w:trPr/>
        <w:tc>
          <w:tcPr>
            <w:tcW w:w="315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72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vAlign w:val="center"/>
          </w:tcPr>
          <w:p>
            <w:pPr>
              <w:pStyle w:val="TableContents"/>
              <w:bidi w:val="0"/>
              <w:spacing w:before="0" w:after="1"/>
              <w:jc w:val="left"/>
              <w:rPr/>
            </w:pPr>
            <w:r>
              <w:rPr/>
              <w:t xml:space="preserve">  </w:t>
            </w:r>
          </w:p>
        </w:tc>
        <w:tc>
          <w:tcPr>
            <w:tcW w:w="900" w:type="dxa"/>
            <w:tcBorders/>
            <w:vAlign w:val="center"/>
          </w:tcPr>
          <w:p>
            <w:pPr>
              <w:pStyle w:val="TableContents"/>
              <w:bidi w:val="0"/>
              <w:spacing w:before="0" w:after="1"/>
              <w:jc w:val="left"/>
              <w:rPr/>
            </w:pPr>
            <w:r>
              <w:rPr/>
              <w:t xml:space="preserve">  </w:t>
            </w:r>
          </w:p>
        </w:tc>
      </w:tr>
      <w:tr>
        <w:trPr/>
        <w:tc>
          <w:tcPr>
            <w:tcW w:w="3151" w:type="dxa"/>
            <w:tcBorders/>
            <w:vAlign w:val="center"/>
          </w:tcPr>
          <w:p>
            <w:pPr>
              <w:pStyle w:val="TableContents"/>
              <w:bidi w:val="0"/>
              <w:spacing w:before="0" w:after="1"/>
              <w:jc w:val="left"/>
              <w:rPr/>
            </w:pPr>
            <w:r>
              <w:rPr>
                <w:rFonts w:ascii="Times New Roman" w:hAnsi="Times New Roman"/>
                <w:color w:val="000000"/>
                <w:sz w:val="18"/>
              </w:rPr>
              <w:t>Ratios:</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721" w:type="dxa"/>
            <w:tcBorders/>
            <w:vAlign w:val="center"/>
          </w:tcPr>
          <w:p>
            <w:pPr>
              <w:pStyle w:val="TableContents"/>
              <w:bidi w:val="0"/>
              <w:spacing w:before="0" w:after="1"/>
              <w:jc w:val="left"/>
              <w:rPr/>
            </w:pP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vAlign w:val="center"/>
          </w:tcPr>
          <w:p>
            <w:pPr>
              <w:pStyle w:val="TableContents"/>
              <w:bidi w:val="0"/>
              <w:spacing w:before="0" w:after="1"/>
              <w:jc w:val="left"/>
              <w:rPr/>
            </w:pPr>
            <w:r>
              <w:rPr/>
              <w:t xml:space="preserve">  </w:t>
            </w:r>
          </w:p>
        </w:tc>
        <w:tc>
          <w:tcPr>
            <w:tcW w:w="900" w:type="dxa"/>
            <w:tcBorders/>
            <w:vAlign w:val="center"/>
          </w:tcPr>
          <w:p>
            <w:pPr>
              <w:pStyle w:val="TableContents"/>
              <w:bidi w:val="0"/>
              <w:spacing w:before="0" w:after="1"/>
              <w:jc w:val="left"/>
              <w:rPr/>
            </w:pPr>
            <w:r>
              <w:rPr/>
              <w:t xml:space="preserve">  </w:t>
            </w:r>
          </w:p>
        </w:tc>
      </w:tr>
      <w:tr>
        <w:trPr/>
        <w:tc>
          <w:tcPr>
            <w:tcW w:w="31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Total non-performing loans to total loans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721" w:type="dxa"/>
            <w:tcBorders/>
            <w:vAlign w:val="center"/>
          </w:tcPr>
          <w:p>
            <w:pPr>
              <w:pStyle w:val="TableContents"/>
              <w:bidi w:val="0"/>
              <w:spacing w:before="0" w:after="1"/>
              <w:ind w:left="0" w:right="60" w:hanging="0"/>
              <w:jc w:val="right"/>
              <w:rPr/>
            </w:pPr>
            <w:r>
              <w:rPr>
                <w:rFonts w:ascii="Times New Roman" w:hAnsi="Times New Roman"/>
                <w:color w:val="000000"/>
                <w:sz w:val="18"/>
              </w:rPr>
              <w:t>1.16%</w:t>
            </w: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vAlign w:val="center"/>
          </w:tcPr>
          <w:p>
            <w:pPr>
              <w:pStyle w:val="TableContents"/>
              <w:bidi w:val="0"/>
              <w:spacing w:before="0" w:after="1"/>
              <w:jc w:val="left"/>
              <w:rPr/>
            </w:pPr>
            <w:r>
              <w:rPr/>
              <w:t xml:space="preserve">  </w:t>
            </w:r>
          </w:p>
        </w:tc>
        <w:tc>
          <w:tcPr>
            <w:tcW w:w="900" w:type="dxa"/>
            <w:tcBorders/>
            <w:vAlign w:val="center"/>
          </w:tcPr>
          <w:p>
            <w:pPr>
              <w:pStyle w:val="TableContents"/>
              <w:bidi w:val="0"/>
              <w:spacing w:before="0" w:after="1"/>
              <w:ind w:left="0" w:right="60" w:hanging="0"/>
              <w:jc w:val="right"/>
              <w:rPr/>
            </w:pPr>
            <w:r>
              <w:rPr>
                <w:rFonts w:ascii="Times New Roman" w:hAnsi="Times New Roman"/>
                <w:color w:val="000000"/>
                <w:sz w:val="18"/>
              </w:rPr>
              <w:t>0.57%</w:t>
            </w:r>
            <w:r>
              <w:rPr/>
              <w:t xml:space="preserve"> </w:t>
            </w:r>
          </w:p>
        </w:tc>
      </w:tr>
      <w:tr>
        <w:trPr/>
        <w:tc>
          <w:tcPr>
            <w:tcW w:w="31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Total non-performing loans to total assets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721" w:type="dxa"/>
            <w:tcBorders/>
            <w:vAlign w:val="center"/>
          </w:tcPr>
          <w:p>
            <w:pPr>
              <w:pStyle w:val="TableContents"/>
              <w:bidi w:val="0"/>
              <w:spacing w:before="0" w:after="1"/>
              <w:ind w:left="0" w:right="60" w:hanging="0"/>
              <w:jc w:val="right"/>
              <w:rPr/>
            </w:pPr>
            <w:r>
              <w:rPr>
                <w:rFonts w:ascii="Times New Roman" w:hAnsi="Times New Roman"/>
                <w:color w:val="000000"/>
                <w:sz w:val="18"/>
              </w:rPr>
              <w:t>0.79%</w:t>
            </w: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vAlign w:val="center"/>
          </w:tcPr>
          <w:p>
            <w:pPr>
              <w:pStyle w:val="TableContents"/>
              <w:bidi w:val="0"/>
              <w:spacing w:before="0" w:after="1"/>
              <w:jc w:val="left"/>
              <w:rPr/>
            </w:pPr>
            <w:r>
              <w:rPr/>
              <w:t xml:space="preserve">  </w:t>
            </w:r>
          </w:p>
        </w:tc>
        <w:tc>
          <w:tcPr>
            <w:tcW w:w="900" w:type="dxa"/>
            <w:tcBorders/>
            <w:vAlign w:val="center"/>
          </w:tcPr>
          <w:p>
            <w:pPr>
              <w:pStyle w:val="TableContents"/>
              <w:bidi w:val="0"/>
              <w:spacing w:before="0" w:after="1"/>
              <w:ind w:left="0" w:right="60" w:hanging="0"/>
              <w:jc w:val="right"/>
              <w:rPr/>
            </w:pPr>
            <w:r>
              <w:rPr>
                <w:rFonts w:ascii="Times New Roman" w:hAnsi="Times New Roman"/>
                <w:color w:val="000000"/>
                <w:sz w:val="18"/>
              </w:rPr>
              <w:t>0.42%</w:t>
            </w:r>
            <w:r>
              <w:rPr/>
              <w:t xml:space="preserve"> </w:t>
            </w:r>
          </w:p>
        </w:tc>
      </w:tr>
      <w:tr>
        <w:trPr/>
        <w:tc>
          <w:tcPr>
            <w:tcW w:w="3151" w:type="dxa"/>
            <w:tcBorders/>
            <w:vAlign w:val="center"/>
          </w:tcPr>
          <w:p>
            <w:pPr>
              <w:pStyle w:val="TableContents"/>
              <w:bidi w:val="0"/>
              <w:spacing w:before="0" w:after="1"/>
              <w:jc w:val="left"/>
              <w:rPr>
                <w:rFonts w:ascii="Times New Roman" w:hAnsi="Times New Roman"/>
                <w:color w:val="000000"/>
                <w:sz w:val="18"/>
              </w:rPr>
            </w:pPr>
            <w:r>
              <w:rPr>
                <w:rFonts w:ascii="Times New Roman" w:hAnsi="Times New Roman"/>
                <w:color w:val="000000"/>
                <w:sz w:val="18"/>
              </w:rPr>
              <w:t xml:space="preserve">Total non-performing assets to total assets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721" w:type="dxa"/>
            <w:tcBorders/>
            <w:vAlign w:val="center"/>
          </w:tcPr>
          <w:p>
            <w:pPr>
              <w:pStyle w:val="TableContents"/>
              <w:bidi w:val="0"/>
              <w:spacing w:before="0" w:after="1"/>
              <w:ind w:left="0" w:right="60" w:hanging="0"/>
              <w:jc w:val="right"/>
              <w:rPr/>
            </w:pPr>
            <w:r>
              <w:rPr>
                <w:rFonts w:ascii="Times New Roman" w:hAnsi="Times New Roman"/>
                <w:color w:val="000000"/>
                <w:sz w:val="18"/>
              </w:rPr>
              <w:t>0.79%</w:t>
            </w: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vAlign w:val="center"/>
          </w:tcPr>
          <w:p>
            <w:pPr>
              <w:pStyle w:val="TableContents"/>
              <w:bidi w:val="0"/>
              <w:spacing w:before="0" w:after="1"/>
              <w:jc w:val="left"/>
              <w:rPr/>
            </w:pPr>
            <w:r>
              <w:rPr/>
              <w:t xml:space="preserve">  </w:t>
            </w:r>
          </w:p>
        </w:tc>
        <w:tc>
          <w:tcPr>
            <w:tcW w:w="900" w:type="dxa"/>
            <w:tcBorders/>
            <w:vAlign w:val="center"/>
          </w:tcPr>
          <w:p>
            <w:pPr>
              <w:pStyle w:val="TableContents"/>
              <w:bidi w:val="0"/>
              <w:spacing w:before="0" w:after="1"/>
              <w:ind w:left="0" w:right="60" w:hanging="0"/>
              <w:jc w:val="right"/>
              <w:rPr/>
            </w:pPr>
            <w:r>
              <w:rPr>
                <w:rFonts w:ascii="Times New Roman" w:hAnsi="Times New Roman"/>
                <w:color w:val="000000"/>
                <w:sz w:val="18"/>
              </w:rPr>
              <w:t>0.42%</w:t>
            </w:r>
            <w:r>
              <w:rPr/>
              <w:t xml:space="preserve"> </w:t>
            </w:r>
          </w:p>
        </w:tc>
      </w:tr>
      <w:tr>
        <w:trPr/>
        <w:tc>
          <w:tcPr>
            <w:tcW w:w="3151" w:type="dxa"/>
            <w:tcBorders/>
            <w:vAlign w:val="center"/>
          </w:tcPr>
          <w:p>
            <w:pPr>
              <w:pStyle w:val="TableContents"/>
              <w:bidi w:val="0"/>
              <w:spacing w:before="0" w:after="1"/>
              <w:jc w:val="left"/>
              <w:rPr/>
            </w:pPr>
            <w:r>
              <w:rPr>
                <w:rFonts w:ascii="Times New Roman" w:hAnsi="Times New Roman"/>
                <w:color w:val="000000"/>
                <w:sz w:val="18"/>
              </w:rPr>
              <w:t>Net-charge-offs to total loans, YTD</w:t>
            </w:r>
            <w:r>
              <w:rPr/>
              <w:t xml:space="preserve"> </w:t>
            </w:r>
          </w:p>
        </w:tc>
        <w:tc>
          <w:tcPr>
            <w:tcW w:w="206" w:type="dxa"/>
            <w:tcBorders/>
            <w:vAlign w:val="center"/>
          </w:tcPr>
          <w:p>
            <w:pPr>
              <w:pStyle w:val="TableContents"/>
              <w:bidi w:val="0"/>
              <w:spacing w:before="0" w:after="1"/>
              <w:jc w:val="left"/>
              <w:rPr/>
            </w:pPr>
            <w:r>
              <w:rPr/>
              <w:t xml:space="preserve">  </w:t>
            </w:r>
          </w:p>
        </w:tc>
        <w:tc>
          <w:tcPr>
            <w:tcW w:w="256" w:type="dxa"/>
            <w:tcBorders/>
            <w:vAlign w:val="center"/>
          </w:tcPr>
          <w:p>
            <w:pPr>
              <w:pStyle w:val="TableContents"/>
              <w:bidi w:val="0"/>
              <w:spacing w:before="0" w:after="1"/>
              <w:jc w:val="left"/>
              <w:rPr/>
            </w:pPr>
            <w:r>
              <w:rPr/>
              <w:t xml:space="preserve">  </w:t>
            </w:r>
          </w:p>
        </w:tc>
        <w:tc>
          <w:tcPr>
            <w:tcW w:w="721" w:type="dxa"/>
            <w:tcBorders/>
            <w:vAlign w:val="center"/>
          </w:tcPr>
          <w:p>
            <w:pPr>
              <w:pStyle w:val="TableContents"/>
              <w:bidi w:val="0"/>
              <w:spacing w:before="0" w:after="1"/>
              <w:ind w:left="0" w:right="60" w:hanging="0"/>
              <w:jc w:val="right"/>
              <w:rPr/>
            </w:pPr>
            <w:r>
              <w:rPr>
                <w:rFonts w:ascii="Times New Roman" w:hAnsi="Times New Roman"/>
                <w:color w:val="000000"/>
                <w:sz w:val="18"/>
              </w:rPr>
              <w:t>0.03%</w:t>
            </w:r>
            <w:r>
              <w:rPr/>
              <w:t xml:space="preserve"> </w:t>
            </w:r>
          </w:p>
        </w:tc>
        <w:tc>
          <w:tcPr>
            <w:tcW w:w="206" w:type="dxa"/>
            <w:tcBorders/>
            <w:vAlign w:val="center"/>
          </w:tcPr>
          <w:p>
            <w:pPr>
              <w:pStyle w:val="TableContents"/>
              <w:bidi w:val="0"/>
              <w:spacing w:before="0" w:after="1"/>
              <w:jc w:val="left"/>
              <w:rPr/>
            </w:pPr>
            <w:r>
              <w:rPr/>
              <w:t xml:space="preserve">  </w:t>
            </w:r>
          </w:p>
        </w:tc>
        <w:tc>
          <w:tcPr>
            <w:tcW w:w="300" w:type="dxa"/>
            <w:tcBorders/>
            <w:vAlign w:val="center"/>
          </w:tcPr>
          <w:p>
            <w:pPr>
              <w:pStyle w:val="TableContents"/>
              <w:bidi w:val="0"/>
              <w:spacing w:before="0" w:after="1"/>
              <w:jc w:val="left"/>
              <w:rPr/>
            </w:pPr>
            <w:r>
              <w:rPr/>
              <w:t xml:space="preserve">  </w:t>
            </w:r>
          </w:p>
        </w:tc>
        <w:tc>
          <w:tcPr>
            <w:tcW w:w="900" w:type="dxa"/>
            <w:tcBorders/>
            <w:vAlign w:val="center"/>
          </w:tcPr>
          <w:p>
            <w:pPr>
              <w:pStyle w:val="TableContents"/>
              <w:bidi w:val="0"/>
              <w:spacing w:before="0" w:after="1"/>
              <w:ind w:left="0" w:right="60" w:hanging="0"/>
              <w:jc w:val="right"/>
              <w:rPr/>
            </w:pPr>
            <w:r>
              <w:rPr>
                <w:rFonts w:ascii="Times New Roman" w:hAnsi="Times New Roman"/>
                <w:color w:val="000000"/>
                <w:sz w:val="18"/>
              </w:rPr>
              <w:t>0.29%</w:t>
            </w:r>
            <w:r>
              <w:rPr/>
              <w:t xml:space="preserve"> </w:t>
            </w:r>
          </w:p>
        </w:tc>
      </w:tr>
    </w:tbl>
    <w:p>
      <w:pPr>
        <w:pStyle w:val="TextBody"/>
        <w:bidi w:val="0"/>
        <w:spacing w:before="0" w:after="160"/>
        <w:jc w:val="center"/>
        <w:rPr/>
      </w:pPr>
      <w:r>
        <w:rPr/>
        <w:t xml:space="preserve">  </w:t>
      </w:r>
    </w:p>
    <w:p>
      <w:pPr>
        <w:pStyle w:val="TextBody"/>
        <w:bidi w:val="0"/>
        <w:spacing w:before="0" w:after="283"/>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OpenSymbol">
    <w:altName w:val="Arial Unicode MS"/>
    <w:charset w:val="02"/>
    <w:family w:val="auto"/>
    <w:pitch w:val="default"/>
  </w:font>
  <w:font w:name="Liberation Sans">
    <w:altName w:val="Arial"/>
    <w:charset w:val="01"/>
    <w:family w:val="swiss"/>
    <w:pitch w:val="variable"/>
  </w:font>
  <w:font w:name="Times New Roman">
    <w:charset w:val="01"/>
    <w:family w:val="auto"/>
    <w:pitch w:val="default"/>
  </w:font>
  <w:font w:name="Wingdings">
    <w:charset w:val="02"/>
    <w:family w:val="auto"/>
    <w:pitch w:val="default"/>
  </w:font>
  <w:font w:name="Symbol">
    <w:charset w:val="02"/>
    <w:family w:val="auto"/>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1"/>
      <w:lvlJc w:val="left"/>
      <w:pPr>
        <w:tabs>
          <w:tab w:val="num" w:pos="0"/>
        </w:tabs>
        <w:ind w:left="0" w:hanging="0"/>
      </w:pPr>
    </w:lvl>
    <w:lvl w:ilvl="1">
      <w:start w:val="1"/>
      <w:numFmt w:val="none"/>
      <w:suff w:val="nothing"/>
      <w:lvlText w:val="%2"/>
      <w:lvlJc w:val="left"/>
      <w:pPr>
        <w:tabs>
          <w:tab w:val="num" w:pos="0"/>
        </w:tabs>
        <w:ind w:left="0" w:hanging="0"/>
      </w:pPr>
    </w:lvl>
    <w:lvl w:ilvl="2">
      <w:start w:val="1"/>
      <w:numFmt w:val="none"/>
      <w:suff w:val="nothing"/>
      <w:lvlText w:val="%3"/>
      <w:lvlJc w:val="left"/>
      <w:pPr>
        <w:tabs>
          <w:tab w:val="num" w:pos="0"/>
        </w:tabs>
        <w:ind w:left="0" w:hanging="0"/>
      </w:pPr>
    </w:lvl>
    <w:lvl w:ilvl="3">
      <w:start w:val="1"/>
      <w:numFmt w:val="none"/>
      <w:suff w:val="nothing"/>
      <w:lvlText w:val="%4"/>
      <w:lvlJc w:val="left"/>
      <w:pPr>
        <w:tabs>
          <w:tab w:val="num" w:pos="0"/>
        </w:tabs>
        <w:ind w:left="0" w:hanging="0"/>
      </w:pPr>
    </w:lvl>
    <w:lvl w:ilvl="4">
      <w:start w:val="1"/>
      <w:numFmt w:val="none"/>
      <w:suff w:val="nothing"/>
      <w:lvlText w:val="%5"/>
      <w:lvlJc w:val="left"/>
      <w:pPr>
        <w:tabs>
          <w:tab w:val="num" w:pos="0"/>
        </w:tabs>
        <w:ind w:left="0" w:hanging="0"/>
      </w:pPr>
    </w:lvl>
    <w:lvl w:ilvl="5">
      <w:start w:val="1"/>
      <w:numFmt w:val="none"/>
      <w:suff w:val="nothing"/>
      <w:lvlText w:val="%6"/>
      <w:lvlJc w:val="left"/>
      <w:pPr>
        <w:tabs>
          <w:tab w:val="num" w:pos="0"/>
        </w:tabs>
        <w:ind w:left="0" w:hanging="0"/>
      </w:pPr>
    </w:lvl>
    <w:lvl w:ilvl="6">
      <w:start w:val="1"/>
      <w:numFmt w:val="none"/>
      <w:suff w:val="nothing"/>
      <w:lvlText w:val="%7"/>
      <w:lvlJc w:val="left"/>
      <w:pPr>
        <w:tabs>
          <w:tab w:val="num" w:pos="0"/>
        </w:tabs>
        <w:ind w:left="0" w:hanging="0"/>
      </w:pPr>
    </w:lvl>
    <w:lvl w:ilvl="7">
      <w:start w:val="1"/>
      <w:numFmt w:val="none"/>
      <w:suff w:val="nothing"/>
      <w:lvlText w:val="%8"/>
      <w:lvlJc w:val="left"/>
      <w:pPr>
        <w:tabs>
          <w:tab w:val="num" w:pos="0"/>
        </w:tabs>
        <w:ind w:left="0" w:hanging="0"/>
      </w:pPr>
    </w:lvl>
    <w:lvl w:ilvl="8">
      <w:start w:val="1"/>
      <w:numFmt w:val="none"/>
      <w:suff w:val="nothing"/>
      <w:lvlText w:val="%9"/>
      <w:lvlJc w:val="left"/>
      <w:pPr>
        <w:tabs>
          <w:tab w:val="num" w:pos="0"/>
        </w:tabs>
        <w:ind w:left="0" w:hanging="0"/>
      </w:pPr>
    </w:lvl>
  </w:abstractNum>
  <w:abstractNum w:abstractNumId="2">
    <w:lvl w:ilvl="0">
      <w:start w:val="1"/>
      <w:numFmt w:val="bullet"/>
      <w:lvlText w:val=""/>
      <w:lvlJc w:val="left"/>
      <w:pPr>
        <w:tabs>
          <w:tab w:val="num" w:pos="709"/>
        </w:tabs>
        <w:ind w:left="709" w:hanging="283"/>
      </w:pPr>
      <w:rPr>
        <w:rFonts w:ascii="Wingdings" w:hAnsi="Wingdings" w:cs="Wingdings" w:hint="default"/>
      </w:rPr>
    </w:lvl>
    <w:lvl w:ilvl="1">
      <w:start w:val="1"/>
      <w:numFmt w:val="bullet"/>
      <w:lvlText w:val=""/>
      <w:lvlJc w:val="left"/>
      <w:pPr>
        <w:tabs>
          <w:tab w:val="num" w:pos="1418"/>
        </w:tabs>
        <w:ind w:left="1418" w:hanging="283"/>
      </w:pPr>
      <w:rPr>
        <w:rFonts w:ascii="Symbol" w:hAnsi="Symbol" w:cs="Symbol" w:hint="default"/>
      </w:rPr>
    </w:lvl>
    <w:lvl w:ilvl="2">
      <w:start w:val="1"/>
      <w:numFmt w:val="bullet"/>
      <w:lvlText w:val=""/>
      <w:lvlJc w:val="left"/>
      <w:pPr>
        <w:tabs>
          <w:tab w:val="num" w:pos="2127"/>
        </w:tabs>
        <w:ind w:left="2127" w:hanging="283"/>
      </w:pPr>
      <w:rPr>
        <w:rFonts w:ascii="Symbol" w:hAnsi="Symbol" w:cs="Symbol" w:hint="default"/>
      </w:rPr>
    </w:lvl>
    <w:lvl w:ilvl="3">
      <w:start w:val="1"/>
      <w:numFmt w:val="bullet"/>
      <w:lvlText w:val=""/>
      <w:lvlJc w:val="left"/>
      <w:pPr>
        <w:tabs>
          <w:tab w:val="num" w:pos="2836"/>
        </w:tabs>
        <w:ind w:left="2836" w:hanging="283"/>
      </w:pPr>
      <w:rPr>
        <w:rFonts w:ascii="Symbol" w:hAnsi="Symbol" w:cs="Symbol" w:hint="default"/>
      </w:rPr>
    </w:lvl>
    <w:lvl w:ilvl="4">
      <w:start w:val="1"/>
      <w:numFmt w:val="bullet"/>
      <w:lvlText w:val=""/>
      <w:lvlJc w:val="left"/>
      <w:pPr>
        <w:tabs>
          <w:tab w:val="num" w:pos="3545"/>
        </w:tabs>
        <w:ind w:left="3545" w:hanging="283"/>
      </w:pPr>
      <w:rPr>
        <w:rFonts w:ascii="Symbol" w:hAnsi="Symbol" w:cs="Symbol" w:hint="default"/>
      </w:rPr>
    </w:lvl>
    <w:lvl w:ilvl="5">
      <w:start w:val="1"/>
      <w:numFmt w:val="bullet"/>
      <w:lvlText w:val=""/>
      <w:lvlJc w:val="left"/>
      <w:pPr>
        <w:tabs>
          <w:tab w:val="num" w:pos="4254"/>
        </w:tabs>
        <w:ind w:left="4254" w:hanging="283"/>
      </w:pPr>
      <w:rPr>
        <w:rFonts w:ascii="Symbol" w:hAnsi="Symbol" w:cs="Symbol" w:hint="default"/>
      </w:rPr>
    </w:lvl>
    <w:lvl w:ilvl="6">
      <w:start w:val="1"/>
      <w:numFmt w:val="bullet"/>
      <w:lvlText w:val=""/>
      <w:lvlJc w:val="left"/>
      <w:pPr>
        <w:tabs>
          <w:tab w:val="num" w:pos="4963"/>
        </w:tabs>
        <w:ind w:left="4963" w:hanging="283"/>
      </w:pPr>
      <w:rPr>
        <w:rFonts w:ascii="Symbol" w:hAnsi="Symbol" w:cs="Symbol" w:hint="default"/>
      </w:rPr>
    </w:lvl>
    <w:lvl w:ilvl="7">
      <w:start w:val="1"/>
      <w:numFmt w:val="bullet"/>
      <w:lvlText w:val=""/>
      <w:lvlJc w:val="left"/>
      <w:pPr>
        <w:tabs>
          <w:tab w:val="num" w:pos="5672"/>
        </w:tabs>
        <w:ind w:left="5672" w:hanging="283"/>
      </w:pPr>
      <w:rPr>
        <w:rFonts w:ascii="Symbol" w:hAnsi="Symbol" w:cs="Symbol" w:hint="default"/>
      </w:rPr>
    </w:lvl>
    <w:lvl w:ilvl="8">
      <w:start w:val="1"/>
      <w:numFmt w:val="bullet"/>
      <w:lvlText w:val=""/>
      <w:lvlJc w:val="left"/>
      <w:pPr>
        <w:tabs>
          <w:tab w:val="num" w:pos="6381"/>
        </w:tabs>
        <w:ind w:left="6381" w:hanging="283"/>
      </w:pPr>
      <w:rPr>
        <w:rFonts w:ascii="Symbol" w:hAnsi="Symbol" w:cs="Symbol" w:hint="default"/>
      </w:rPr>
    </w:lvl>
  </w:abstractNum>
  <w:num w:numId="1">
    <w:abstractNumId w:val="1"/>
  </w:num>
  <w:num w:numId="2">
    <w:abstractNumId w:val="2"/>
  </w:num>
</w:numbering>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Bullets">
    <w:name w:val="Bullets"/>
    <w:qFormat/>
    <w:rPr>
      <w:rFonts w:ascii="OpenSymbol" w:hAnsi="OpenSymbol" w:eastAsia="OpenSymbol" w:cs="OpenSymbol"/>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6776</Words>
  <Characters>36761</Characters>
  <CharactersWithSpaces>48408</CharactersWithSpaces>
  <Paragraphs>3664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