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Dineen David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Dir. Wealth Services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12,270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units which vest at a rate of 1/3 per year commencing on March 21, 2025.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restricted stock units which vest at a rate of 1/3 per year commencing on March 20, 2026.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Restricted stock units which vest at a rate of 1/3 per year commencing on March 19, 2027.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Reflects transactions not required to be reported pursuant to Section 16 of the Securities Exchange Act of 1934, as amended.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power of attorney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-3135630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1144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2026-03-23T16:46:06Z</dcterms:created>
  <dcterms:modified xsi:type="dcterms:W3CDTF">2026-03-23T16:46:06Z</dcterms:modified>
</cp:coreProperties>
</file>