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Tirado Olga Luz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86"/>
        <w:gridCol w:w="315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</w:t>
            </w:r>
            <w:r>
              <w:rPr/>
              <w:t xml:space="preserve"> </w:t>
            </w:r>
          </w:p>
        </w:tc>
        <w:tc>
          <w:tcPr>
            <w:tcW w:w="3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32.32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common stock and becomes payable upon the reporting person's separation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774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3379</Characters>
  <CharactersWithSpaces>3947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