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25" w:lineRule="exact"/>
        <w:rPr>
          <w:sz w:val="24"/>
          <w:szCs w:val="24"/>
          <w:color w:val="auto"/>
        </w:rPr>
      </w:pPr>
    </w:p>
    <w:p>
      <w:pPr>
        <w:jc w:val="center"/>
        <w:ind w:left="1520" w:right="1420"/>
        <w:spacing w:after="0" w:line="268" w:lineRule="auto"/>
        <w:rPr>
          <w:sz w:val="20"/>
          <w:szCs w:val="20"/>
          <w:color w:val="auto"/>
        </w:rPr>
      </w:pPr>
      <w:r>
        <w:rPr>
          <w:rFonts w:ascii="Times New Roman" w:cs="Times New Roman" w:eastAsia="Times New Roman" w:hAnsi="Times New Roman"/>
          <w:sz w:val="18"/>
          <w:szCs w:val="18"/>
          <w:b w:val="1"/>
          <w:bCs w:val="1"/>
          <w:color w:val="auto"/>
        </w:rPr>
        <w:t>FOR ANNUAL REPORTS OF EMPLOYEE STOCK PURCHASE, SAVINGS AND SIMILAR PLANS PURSUANT TO SECTION 15(d) OF THE SECURITIES EXCHANGE ACT OF 1934</w:t>
      </w:r>
    </w:p>
    <w:p>
      <w:pPr>
        <w:spacing w:after="0" w:line="175" w:lineRule="exact"/>
        <w:rPr>
          <w:sz w:val="24"/>
          <w:szCs w:val="24"/>
          <w:color w:val="auto"/>
        </w:rPr>
      </w:pPr>
    </w:p>
    <w:p>
      <w:pPr>
        <w:ind w:left="3340" w:right="239" w:hanging="2649"/>
        <w:spacing w:after="0" w:line="498" w:lineRule="auto"/>
        <w:tabs>
          <w:tab w:leader="none" w:pos="133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ANNUAL REPORT PURSUANT TO SECTION 15(d) OF THE SECURITIES EXCHANGE ACT OF 1934. For the fiscal year ended </w:t>
      </w:r>
      <w:r>
        <w:rPr>
          <w:rFonts w:ascii="Times New Roman" w:cs="Times New Roman" w:eastAsia="Times New Roman" w:hAnsi="Times New Roman"/>
          <w:sz w:val="18"/>
          <w:szCs w:val="18"/>
          <w:u w:val="single" w:color="auto"/>
          <w:color w:val="auto"/>
        </w:rPr>
        <w:t>December 31, 2025</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9" w:lineRule="exact"/>
        <w:rPr>
          <w:rFonts w:ascii="MS PGothic" w:cs="MS PGothic" w:eastAsia="MS PGothic" w:hAnsi="MS PGothic"/>
          <w:sz w:val="18"/>
          <w:szCs w:val="18"/>
          <w:color w:val="auto"/>
        </w:rPr>
      </w:pPr>
    </w:p>
    <w:p>
      <w:pPr>
        <w:ind w:left="1180" w:hanging="649"/>
        <w:spacing w:after="0"/>
        <w:tabs>
          <w:tab w:leader="none" w:pos="1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15(d) OF THE SECURITIES EXCHANGE ACT OF 1934.</w:t>
      </w:r>
    </w:p>
    <w:p>
      <w:pPr>
        <w:spacing w:after="0" w:line="23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22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001-40711</w:t>
      </w:r>
    </w:p>
    <w:p>
      <w:pPr>
        <w:spacing w:after="0" w:line="229" w:lineRule="exact"/>
        <w:rPr>
          <w:sz w:val="24"/>
          <w:szCs w:val="24"/>
          <w:color w:val="auto"/>
        </w:rPr>
      </w:pPr>
    </w:p>
    <w:p>
      <w:pPr>
        <w:ind w:left="3460" w:right="719" w:hanging="2296"/>
        <w:spacing w:after="0" w:line="500" w:lineRule="auto"/>
        <w:tabs>
          <w:tab w:leader="none" w:pos="181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 Orange County Bancorp, Inc. 401(k) Plan</w:t>
      </w:r>
    </w:p>
    <w:p>
      <w:pPr>
        <w:spacing w:after="0" w:line="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Orange County Bancorp, Inc.</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212 Dolson Avenue</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Middletown, New York 10940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563245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186055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80" w:type="dxa"/>
            <w:vAlign w:val="bottom"/>
          </w:tcPr>
          <w:p>
            <w:pPr>
              <w:spacing w:after="0"/>
              <w:rPr>
                <w:sz w:val="17"/>
                <w:szCs w:val="17"/>
                <w:color w:val="auto"/>
              </w:rPr>
            </w:pPr>
          </w:p>
        </w:tc>
      </w:tr>
      <w:tr>
        <w:trPr>
          <w:trHeight w:val="754"/>
        </w:trPr>
        <w:tc>
          <w:tcPr>
            <w:tcW w:w="6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20" w:type="dxa"/>
            <w:vAlign w:val="bottom"/>
            <w:gridSpan w:val="6"/>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ORANGE COUNTY BANCORP, INC. 401(K) Plan</w:t>
            </w:r>
          </w:p>
        </w:tc>
        <w:tc>
          <w:tcPr>
            <w:tcW w:w="11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920" w:type="dxa"/>
            <w:vAlign w:val="bottom"/>
            <w:gridSpan w:val="6"/>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INDEX TO THE FINANCIAL STATEMENTS</w:t>
            </w:r>
          </w:p>
        </w:tc>
        <w:tc>
          <w:tcPr>
            <w:tcW w:w="1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920" w:type="dxa"/>
            <w:vAlign w:val="bottom"/>
            <w:gridSpan w:val="6"/>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AS OF DECEMBER 31, 2025 AND 2024</w:t>
            </w:r>
          </w:p>
        </w:tc>
        <w:tc>
          <w:tcPr>
            <w:tcW w:w="118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20" w:type="dxa"/>
            <w:vAlign w:val="bottom"/>
            <w:gridSpan w:val="6"/>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18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385"/>
        </w:trPr>
        <w:tc>
          <w:tcPr>
            <w:tcW w:w="4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Independent Registered Public Accounting Firm</w:t>
            </w:r>
          </w:p>
        </w:tc>
        <w:tc>
          <w:tcPr>
            <w:tcW w:w="4220" w:type="dxa"/>
            <w:vAlign w:val="bottom"/>
            <w:gridSpan w:val="4"/>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8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w:t>
            </w:r>
          </w:p>
        </w:tc>
        <w:tc>
          <w:tcPr>
            <w:tcW w:w="4600" w:type="dxa"/>
            <w:vAlign w:val="bottom"/>
            <w:gridSpan w:val="5"/>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60" w:type="dxa"/>
            <w:vAlign w:val="bottom"/>
          </w:tcPr>
          <w:p>
            <w:pPr>
              <w:spacing w:after="0"/>
              <w:rPr>
                <w:sz w:val="24"/>
                <w:szCs w:val="24"/>
                <w:color w:val="auto"/>
              </w:rPr>
            </w:pPr>
          </w:p>
        </w:tc>
        <w:tc>
          <w:tcPr>
            <w:tcW w:w="42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Statement of Changes in Net Assets Available For Benefits</w:t>
            </w:r>
          </w:p>
        </w:tc>
        <w:tc>
          <w:tcPr>
            <w:tcW w:w="3820" w:type="dxa"/>
            <w:vAlign w:val="bottom"/>
            <w:gridSpan w:val="3"/>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6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Notes to Financial Statements</w:t>
            </w:r>
          </w:p>
        </w:tc>
        <w:tc>
          <w:tcPr>
            <w:tcW w:w="5920" w:type="dxa"/>
            <w:vAlign w:val="bottom"/>
            <w:gridSpan w:val="6"/>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 12</w:t>
            </w:r>
          </w:p>
        </w:tc>
      </w:tr>
      <w:tr>
        <w:trPr>
          <w:trHeight w:val="412"/>
        </w:trPr>
        <w:tc>
          <w:tcPr>
            <w:tcW w:w="1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Schedules:</w:t>
            </w:r>
          </w:p>
        </w:tc>
        <w:tc>
          <w:tcPr>
            <w:tcW w:w="680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80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Schedule H, Line 4a – Schedule of Delinquent Participant Contributions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412"/>
        </w:trPr>
        <w:tc>
          <w:tcPr>
            <w:tcW w:w="660" w:type="dxa"/>
            <w:vAlign w:val="bottom"/>
          </w:tcPr>
          <w:p>
            <w:pPr>
              <w:spacing w:after="0"/>
              <w:rPr>
                <w:sz w:val="24"/>
                <w:szCs w:val="24"/>
                <w:color w:val="auto"/>
              </w:rPr>
            </w:pPr>
          </w:p>
        </w:tc>
        <w:tc>
          <w:tcPr>
            <w:tcW w:w="44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Schedule H, Line 4i – Schedule of Assets (Held At Year End)</w:t>
            </w:r>
          </w:p>
        </w:tc>
        <w:tc>
          <w:tcPr>
            <w:tcW w:w="76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412"/>
        </w:trPr>
        <w:tc>
          <w:tcPr>
            <w:tcW w:w="1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9"/>
              </w:rPr>
              <w:t>Signatures page</w:t>
            </w:r>
          </w:p>
        </w:tc>
        <w:tc>
          <w:tcPr>
            <w:tcW w:w="7500" w:type="dxa"/>
            <w:vAlign w:val="bottom"/>
            <w:gridSpan w:val="10"/>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412"/>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Exhibit Index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3"/>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 23.1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County Bancorp, Inc. 401(K)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Orange County Bancorp, Inc. 401(k) Plan (the Plan) as of December 31, 2025 and 2024, the related statement of changes in net assets available for benefits for the year ended December 31, 2025, and the related notes to the financial statements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and the schedule of delinquent participant contributions for the year ended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are fairly stated in all material respects in relation to the financial statements as a whole.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1,111,249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Investment Funds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29,098,366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Orange County Bancorp, Inc. Stock Fund</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3,760,136</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34,272,046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Received from Participants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58,983</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35,062,145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35,062,145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7320" w:type="dxa"/>
            <w:vAlign w:val="bottom"/>
            <w:gridSpan w:val="2"/>
          </w:tcPr>
          <w:p>
            <w:pPr>
              <w:jc w:val="right"/>
              <w:ind w:right="223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ORANGE COUNTY BANCORP, INC</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STATEMENT OF CHANGES IN NET ASSETS AVAILABLE FOR BENEFITS FOR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THE YEAR ENDED DECEMBER 31, 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2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appreciation in fair value investments</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Participants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Rollover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3,588,914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ADDITIONS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35,062,145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AS OF DECEMBER 31, 2025 &amp;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A - DESCRIPTION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brief description of the Orange County Bancorp, Inc. 401(k) Plan (the “Plan”) is provided for general information purposes only. Participants should refer to the Plan agreement for more complete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Orange Bank &amp; Trust Company (the “Bank”), formerly known as Orange County Bank and Trust Company established the Orange County Trust Company Employee Stock Ownership Plan with Section 401(k) Provisions effective as of January 1, 1993. As of January 1, 2016, the Orange County Trust Company Employee Stock Ownership Plan was amended and restated to provide for the transfer of the sponsorship of the Plan from Orange County Trust Company to Orange County Bancorp, Inc. and that the Plan allow for automatic enrollment for new hires and safe harbor non-elective contribution. It is intended that the Plan be a qualified profit-sharing plan within the meaning of Section 401(a) of the Internal Revenue Code of 1986, as amended (the “Code”), that the requirements of Code Sections 401(k) or 414(v) be satisfied as to that portion of the Plan applicable to Before-Tax Contributions, that the requirements of Code Section 401(m) be satisfied as to that portion of the Plan applicable to Employer Matching Contributions, and that the Trust or other funding vehicle associated with the Plan be exempt from Federal income tax pursuant to the provisions of Code Section 501(a). The Plan is intended to include a stock bonus plan qualified under Code Section 401(a) and a non-leveraged employee stock ownership plan (ESOP) satisfying the requirements of Code Sections 401(a), 409 and 4975e. The ESOP component of the Plan is designed to be invested primarily in employer securities within the meaning of Code Section 4975(e)(8) and such, the primary investment of the ESOP shall be the Orange County Bancorp, Inc. Stock Fund. The Plan is subject to the applicable provisions of the Employee Retirement Income Security Act of 1974, as amended (ERISA). The Plan was administered by Pentegra Services, Inc. (“Pentegra”) during 2024 and until November 2025. Beginning in November 2025, Principal Trust Company (“Principal”) became the administrator of the Plan. Empower Trust Company LLC was the recordkeeper between January and November 2025. During November 2025, the recordkeeping of the Plan was transferred and converted to Principal.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November 15, 2025, employees of the Bank who have attained the age of 18 are eligible to participate in the Plan and receive employer contributions after 6 months of service provided they have at least 500 hours of service. Prior to November 15, 2025, employees of the Bank who have attained the age of 18 were eligible to participate in the Plan after 6 months of service, provided they have at least 1000 hours of service. A Participant, prior to November 15, 2025, was eligible to receive Employer Matching Contributions and Discretionary Employer contributions upon attaining age of 21 and completing a year of service, provided they have at least 1,000 hours of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year, participants may contribute up to the annual maximum determined by the Internal Revenue Code, as defined in the Plan. Participants who have attained age 50 before the end of the Plan year are eligible to make catch-up contributions. The Plan allows for Pre-Tax and Roth Elective Deferrals. Participants may designate all or a portion of their deferrals as Roth Elective Deferrals. Each employee who becomes eligible to participate in the Plan after January 1, 2016 and who has not specifically elected to make salary reduction contributions will be automatically enrolled for pre-tax salary reduction contributions at a rate of 6% of base pay. Participants may also contribute amounts representing distributions from other qualified defined benefit or contribution plans. Participants direct the investment of their contributions into various investment options offered by the Plan. The Bank makes additional contributions to eligible participant accounts. Effective for Plan years beginning after January 1, 2016, to satisfy the requirements of IRC sections 401(k)(12), the Bank will make safe harbor non-elective contributions equal to 3% of eligible participants annual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1, 2025, eligible participants receive employer matching contributions up to 4% of base compensation. Effective for Plan years beginning after January 1, 2016, to satisfy the requirements of IRC sections 401(k)(12), the Bank will make safe harbor non-elective contributions equal to 3% of eligible participants annual compensation.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 and allocations of (a) the Bank’s contribution and, (b) Plan earnings (losses), and charged with an allocation of any administrative expenses paid by the Plan. Allocations are based on participant earnings or account balances, as defined. The benefit to which a participant is entitled is the benefit that can be provided from the participant’s vested account.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before tax contributions, Roth contributions, rollover contributions, Employer’s safe harbor non-election contribution, Employer’s discretionary contributions and actual earnings thereon.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in any Employer’s matching contribution portion of the participant accounts is based on years of continuous service. Effective June 1, 2025, a participant is vested 33% a year and is 100% vested after three years of credited service. Prior to June 1, 2025, a participant was vested 20% a year and was 100% vested after five years of credited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$1,000 up to a maximum equal to the lesser of $50,000 or 50% of their account balance. The notes are secured by the balance in the participant’s account and bear a reasonable interest rate equal to the prevailing rate charged by lenders for similar loans as determined by the Bank. The interest rates are between 4.25% and 9.50% as of December 31, 2025. Principal and interest are paid ratably through bi-weekly payroll deductions.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may elect to receive either a lump-sum amount equal to the value of the participant’s vested interest in his or her account or in monthly, quarterly, semiannual or annual installments; provided, however that such period shall not extend beyond the participant’s life expectancy or the life expectancy of the participant and his/her designated beneficiary.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November 6, 2020, the Plan was amended to permit an automatic rollover of a participant’s vested account balance between $1,000 and $5,000 in the event the participant does not make a distribution election under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Plan provisions, participants may make withdrawals from their accounts. To qualify for a withdrawal, participants must attain age 59-1/2, establish permanent or total disability, or demonstrate financial hardship as defined under the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Funds available for a hardship withdrawal are limited to a participant’s need and may not exceed the total of the participant’s contributions, certain Bank contributions, and earnings in the Plan as defined. Eligibility for a hardship withdrawal is defined as the need for uninsured medical expenses, purchase of a participant’s principal residence, payment of post-high school tuition, to prevent the loss of residence, payment for burial or funeral expenses for a parent, child, spouse or dependent, or expenses for the repair of damage to the employee’s principal residence under Internal Revenue Code Section 165.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Forfeited Accounts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forfeited non-vested account balances were $0. This account would be used to reduce future employer matching contributions to the plan and then to pay administrative expenses of the Plan. For the year ended December 31, 2025, administrative expenses were reduced by $1,574 from forfeited nonvested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B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significant accounting policies followed by the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are prepared on the accrual basis of accounting.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Plan’s administrator to make estimates and assumptions that affect the reported amounts of assets and liabilities and changes therein, and disclosure of contingent assets and liabilities. Accordingly,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Valuation and Income Recognition.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See Note D for discussion of fair value measurements and see Note E for discussion of the fair value measurements of the ESOP components. 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to participants are recorded upon distribution.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Bank are recorded in the year in which the employee contributions are withheld from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unless otherwise paid by the Bank. Expenses that are paid by the Bank are excluded from these financial statements. Fees related to the administration of notes receivable from participants are charged directly to the participant’s account and are included in administrative expenses. Investment related expenses are included in net appreciation (depreciation) of fair value of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C – TAX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adopted the Principal Financial Group ESOP/KSPO pre-approved plan, which received an opinion letter from the Internal Revenue Service (“IRS”) dated June 30, 2020, stating that the written form of the underlying volume submitter plan document is qualified under Section 401(a) and 4975(e)(7) of the IRC. Although the Plan has been amended since receiving the determination letter, the Plan administrator and the Plan’s tax counsel believe that the Plan is designed, and is currently being operated, in compliance with the applicable requirements of the IRC and, therefore, believe that the Plan is qualified, and the related trust is tax-exempt.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taxing authorities. The Plan is subject to routine audits by taxing jurisdictions; however, there are currently no audits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tax periods in progress. The Plan administrator believes it is no longer subject to income tax examinations for years prior to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D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Plan’s investments are reported at fair value in the accompanying statements of net assets available for benefits. The methods used to measure fair value may produce an amount that may not be indicative of net realizable value or reflective of future fair values. Furthermore, although the Plan believes its valuation methods are appropriate and consistent with other market participants, the use of different methodologies or assumptions to measure the fair value of certain financial instruments could result in a different fair value at the reporting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820, Fair Value Measurements and Disclosures,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183"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Level 1: Inputs to the valuation methodology are unadjusted quoted prices for identical assets or liabilities in active markets that the Plan has the ability to access.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Inputs to the valuation methodology include:</w:t>
      </w:r>
    </w:p>
    <w:p>
      <w:pPr>
        <w:spacing w:after="0" w:line="225" w:lineRule="exact"/>
        <w:rPr>
          <w:sz w:val="20"/>
          <w:szCs w:val="20"/>
          <w:color w:val="auto"/>
        </w:rPr>
      </w:pPr>
    </w:p>
    <w:p>
      <w:pPr>
        <w:ind w:left="1660" w:hanging="329"/>
        <w:spacing w:after="0"/>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market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Inputs to the valuation methodology are unobservable and significant to the fair value measurement.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There have been no changes in the methodologies used at December 31, 2025 and 2024.</w:t>
      </w:r>
    </w:p>
    <w:p>
      <w:pPr>
        <w:spacing w:after="0" w:line="162" w:lineRule="exact"/>
        <w:rPr>
          <w:sz w:val="20"/>
          <w:szCs w:val="20"/>
          <w:color w:val="auto"/>
        </w:rPr>
      </w:pPr>
    </w:p>
    <w:p>
      <w:pPr>
        <w:jc w:val="both"/>
        <w:ind w:left="1340" w:hanging="333"/>
        <w:spacing w:after="0" w:line="266"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Mutual Funds are valued at the daily closing price as reported by the fund. Mutual funds held by the Plan are open-end mutual funds that are registered with the SEC. These funds are required to publish their daily net asset value (NAV) and to transact at that price. The mutual funds held by the Plan are deemed to be actively traded.</w:t>
      </w:r>
    </w:p>
    <w:p>
      <w:pPr>
        <w:spacing w:after="0" w:line="175" w:lineRule="exact"/>
        <w:rPr>
          <w:rFonts w:ascii="Times New Roman" w:cs="Times New Roman" w:eastAsia="Times New Roman" w:hAnsi="Times New Roman"/>
          <w:sz w:val="18"/>
          <w:szCs w:val="18"/>
          <w:color w:val="auto"/>
        </w:rPr>
      </w:pPr>
    </w:p>
    <w:p>
      <w:pPr>
        <w:jc w:val="both"/>
        <w:ind w:left="1340" w:hanging="333"/>
        <w:spacing w:after="0" w:line="256"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Collective Investment Funds are valued at the NAV of the units held by the custodian at year end. Unit values are determined by dividing the funds’ net assets, which represent the unadjusted prices in active markets of the underlying investments, by the number of units outstanding at the valuation date. Participant transactions (purchases and sales) may occur daily. Were the Plan to initiate a full redemption of the collective investment fund, the investment adviser reserves the right to temporarily delay withdrawal from the fund in order to ensure that securities liquidations will be carried out in an orderly business manner.</w:t>
      </w:r>
    </w:p>
    <w:p>
      <w:pPr>
        <w:spacing w:after="0" w:line="187" w:lineRule="exact"/>
        <w:rPr>
          <w:rFonts w:ascii="Times New Roman" w:cs="Times New Roman" w:eastAsia="Times New Roman" w:hAnsi="Times New Roman"/>
          <w:sz w:val="18"/>
          <w:szCs w:val="18"/>
          <w:color w:val="auto"/>
        </w:rPr>
      </w:pPr>
    </w:p>
    <w:p>
      <w:pPr>
        <w:jc w:val="both"/>
        <w:ind w:left="1340" w:right="20" w:hanging="333"/>
        <w:spacing w:after="0" w:line="261"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Orange County Bancorp, Inc. Stock Fund is a unitized stock fund. The fund consists of both Orange County Bancorp, Inc. common stock and a short-term cash component that provides liquidity for daily trading. Orange County Bancorp, Inc. common stock is valued at the quoted market price from a national securities exchange, and the short-term cash investment is valued at cost, which approximates fair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Plan’s investments are in a trust which was established for the investment of assets of the Plan. The assets of the trust are held by Principal, custodian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at fair value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4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1,111,249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1,111,249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302,295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 Investment Funds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29,098,366</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Orange County Bancorp, Inc. Stock Fund</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3,760,136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3,760,136</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5,173,680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29,098,366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$ 34,272,046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4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864,261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 Investment Funds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26,445,580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26,445,580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Orange County Bancorp, Inc. Stock Fund</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3,595,095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3,595,095</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4,816,494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26,445,580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$ 31,262,074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E – ORANGE COUNTY BANCORP INC., STOCK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offers as an investment option the opportunity for participants to invest their account balances in Orange County Bancorp,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through the Orange County Bancorp, Inc. Stock Fund.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participant invested in the Stock Fund is entitled to exercise voting rights attributable to the participant’s interest in the fund and is notified by the Plan Administrator prior to the time that such rights are to be exercised.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also have the right to receive a distribution from their vested share of the Stock Fund in the form of Orange County Bancorp, Inc. stock from the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5, 2021, Orange County Bancorp, Inc. announced its initial public offering of common stock. The common stock trades on the Nasdaq Capital Market under the symbol “OBT”. The ESOP includes a cash equivalent component to provide the fund with necessary liquidity. The cash equivalent component is increased by Orange County Bancorp, Inc., dividends and decreased by distributions and administrative fees. The cash equivalent component and the shares of Employer stock together make up the ESOP represents a market value amount of $3,760,136.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Employer Stock Fund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At December 31, 2025</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131,704 shares of Orange County Bancorp, Inc. Stock</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3,760,136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2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At December 31, 2024</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Institutional Money Market Funds</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96,352</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125,922 shares of Orange County Bancorp, Inc. Stock</w:t>
            </w:r>
          </w:p>
        </w:tc>
        <w:tc>
          <w:tcPr>
            <w:tcW w:w="5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3,498,743</w:t>
            </w: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39,146 shares of Orange County Trust Co. Employee Stock Ownership Plan valued at $91.84 per unit at</w:t>
            </w:r>
          </w:p>
        </w:tc>
        <w:tc>
          <w:tcPr>
            <w:tcW w:w="940" w:type="dxa"/>
            <w:vAlign w:val="bottom"/>
            <w:gridSpan w:val="2"/>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3,595,095</w:t>
            </w:r>
          </w:p>
        </w:tc>
        <w:tc>
          <w:tcPr>
            <w:tcW w:w="0" w:type="dxa"/>
            <w:vAlign w:val="bottom"/>
          </w:tcPr>
          <w:p>
            <w:pPr>
              <w:spacing w:after="0"/>
              <w:rPr>
                <w:sz w:val="1"/>
                <w:szCs w:val="1"/>
                <w:color w:val="auto"/>
              </w:rPr>
            </w:pPr>
          </w:p>
        </w:tc>
      </w:tr>
      <w:tr>
        <w:trPr>
          <w:trHeight w:val="221"/>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Orange County Bancorp, Inc Stock (“OBT stock”) was measured in shares for accounting purposes as a result of the change in administrator to Principal. During 2024, OBT stock was presented in shares and also measured in stock units within the Employee Stock Ownership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F – 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as well as the Orange County Bancorp Inc. common stock. These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G – ADMINISTRATION OF PLAN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Plan’s assets which consist of Orange County Bancorp, Inc. common stock, mutual funds, and various collective investment funds, were held and maintained by Reliance Trust Company through February 2024 and subsequently by Empower Trust Company, LLC, through November 15, 2025, and subsequently by Principal. Pentegra Services, Inc. was the third party administrator of the Plan through November 2025. During November 2025, Principal became the third-party administrator and the custodian of the Plan. Pentegra, and its successor Principal, in conjunction with the custodians noted above receive the participant contributions and invest the contributions to the participant accounts according to the investment allocation selected by the participant. Pentegra, and its successor Principal, in conjunction with the custodians maintained the participant accounts including processing distributions and advances and payments to participant loans.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administrative functions are performed by the officers or employees of the Bank. No such officer or employee receives compensation from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H – PLAN 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Bank has the right under the Plan to fully or partially terminate the Plan subject to the provisions of ERISA at any time. In the event of Plan termination, participants would become 100% vested in their account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I - CONCENTRATIONS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Plan investments in the ESOP consist of common stock of Orange County Bancorp, Inc. which represents 11% of Net Assets Available for Benefits as of December 31, 2025 and 2024, respectively. Additionally, as of December 31, 2025 and 2024, the Plan held two investments representing 31% of total net assets available for benefits and two investments representing 33% of total net assets available for benefits,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J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investments consist of common stock from the Bank’s parent company Orange County Bancorp,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ESOP holdings of Orange County Bancorp, Inc. common stock as of the dates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ind w:left="70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Orange County Bancorp, Inc. shares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131,704</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Orange County Bancorp Inc. common stock owned by the ESOP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0.99 %</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bases of Orange County Bancorp Inc. common stock owned by the ESOP</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3,320,030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1,303,763</w:t>
            </w:r>
          </w:p>
        </w:tc>
        <w:tc>
          <w:tcPr>
            <w:tcW w:w="160" w:type="dxa"/>
            <w:vAlign w:val="bottom"/>
            <w:shd w:val="clear" w:color="auto" w:fill="CCEEFF"/>
          </w:tcPr>
          <w:p>
            <w:pPr>
              <w:spacing w:after="0"/>
              <w:rPr>
                <w:sz w:val="18"/>
                <w:szCs w:val="18"/>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Orange County Bancorp Inc. common stock owned by the ESOP</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3,760,136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3,498,743</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Share information has been restated for the effect of the 2025 Stock Split.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holds promissory notes receivable from Plan Participants who are employees of the Bank. See Note A for promissory note terms provided to the participants.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Plan investments are shares of Orange County Bancorp, Inc. common stock and units of Collective Investment Trusts managed by Principal. As of December 31, 2025, Orange County Bancorp, Inc. is the Plan sponsor and Principal is the custodian and the third party administrator, as defined by the Plan, and therefore, these transactions qualify as party-in-interest transactions. During 2025, the Plan sold 33,771 shares of Orange County Bancorp, Inc. common stock with a fair value of $864,321, purchased 33,503 shares of Orange County Bancorp Inc. common stock with a fair value of $852,724 and the Plan recorded dividend income of $57,490 from shares of Orange County Bancorp, Inc.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K – NONEXEMPT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Plan Sponsor inadvertently failed to deposit approximately $518 of participant contributions and loan repayments within the required time frame as stated by the United States Department of Labor (DOL) regulations. Those funds were funded during 2024 and the earnings, representing less than $1, were credited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20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ORANGE COUNTY BANCORP, INC. 401(K) Plan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15"/>
          </w:tcPr>
          <w:p>
            <w:pPr>
              <w:jc w:val="center"/>
              <w:ind w:left="895"/>
              <w:spacing w:after="0"/>
              <w:rPr>
                <w:sz w:val="20"/>
                <w:szCs w:val="20"/>
                <w:color w:val="auto"/>
              </w:rPr>
            </w:pPr>
            <w:r>
              <w:rPr>
                <w:rFonts w:ascii="Times New Roman" w:cs="Times New Roman" w:eastAsia="Times New Roman" w:hAnsi="Times New Roman"/>
                <w:sz w:val="18"/>
                <w:szCs w:val="18"/>
                <w:b w:val="1"/>
                <w:bCs w:val="1"/>
                <w:color w:val="auto"/>
                <w:w w:val="99"/>
              </w:rPr>
              <w:t>SCHEDULE H, LINE 4a - SCHEDULE OF DELINQUENT PARTICIPANT CONTRIBUTIONS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E.I.N. 26-1135778</w:t>
            </w:r>
          </w:p>
        </w:tc>
        <w:tc>
          <w:tcPr>
            <w:tcW w:w="1880" w:type="dxa"/>
            <w:vAlign w:val="bottom"/>
            <w:gridSpan w:val="5"/>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w w:val="99"/>
              </w:rPr>
              <w:t>Plan Number 004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60" w:type="dxa"/>
            <w:vAlign w:val="bottom"/>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Total Fully</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220" w:type="dxa"/>
            <w:vAlign w:val="bottom"/>
            <w:tcBorders>
              <w:right w:val="single" w:sz="8" w:color="auto"/>
            </w:tcBorders>
          </w:tcPr>
          <w:p>
            <w:pPr>
              <w:spacing w:after="0"/>
              <w:rPr>
                <w:sz w:val="12"/>
                <w:szCs w:val="12"/>
                <w:color w:val="auto"/>
              </w:rPr>
            </w:pPr>
          </w:p>
        </w:tc>
        <w:tc>
          <w:tcPr>
            <w:tcW w:w="21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that Constitute Nonexempt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Transferred Late</w:t>
            </w:r>
          </w:p>
        </w:tc>
        <w:tc>
          <w:tcPr>
            <w:tcW w:w="220" w:type="dxa"/>
            <w:vAlign w:val="bottom"/>
            <w:tcBorders>
              <w:right w:val="single" w:sz="8" w:color="auto"/>
            </w:tcBorders>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Under VFCP</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Plan</w:t>
            </w: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Prohibited Transactions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and PTE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2002-51</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tcBorders>
              <w:left w:val="single" w:sz="8" w:color="auto"/>
            </w:tcBorders>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0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right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Check here if Late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2"/>
            <w:vMerge w:val="restart"/>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Borders>
              <w:left w:val="single" w:sz="8" w:color="auto"/>
            </w:tcBorders>
            <w:gridSpan w:val="2"/>
            <w:vMerge w:val="continue"/>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Participant Loan</w:t>
            </w:r>
          </w:p>
        </w:tc>
        <w:tc>
          <w:tcPr>
            <w:tcW w:w="220" w:type="dxa"/>
            <w:vAlign w:val="bottom"/>
            <w:tcBorders>
              <w:right w:val="single" w:sz="8" w:color="auto"/>
            </w:tcBorders>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20" w:type="dxa"/>
            <w:vAlign w:val="bottom"/>
            <w:tcBorders>
              <w:right w:val="single" w:sz="8" w:color="auto"/>
            </w:tcBorders>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Borders>
              <w:left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Repayments are</w:t>
            </w:r>
          </w:p>
        </w:tc>
        <w:tc>
          <w:tcPr>
            <w:tcW w:w="220" w:type="dxa"/>
            <w:vAlign w:val="bottom"/>
            <w:tcBorders>
              <w:right w:val="single" w:sz="8" w:color="auto"/>
            </w:tcBorders>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1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2"/>
          </w:tcPr>
          <w:p>
            <w:pPr>
              <w:jc w:val="center"/>
              <w:ind w:right="285"/>
              <w:spacing w:after="0" w:line="149" w:lineRule="exact"/>
              <w:rPr>
                <w:sz w:val="20"/>
                <w:szCs w:val="20"/>
                <w:color w:val="auto"/>
              </w:rPr>
            </w:pPr>
            <w:r>
              <w:rPr>
                <w:rFonts w:ascii="Times New Roman" w:cs="Times New Roman" w:eastAsia="Times New Roman" w:hAnsi="Times New Roman"/>
                <w:sz w:val="14"/>
                <w:szCs w:val="14"/>
                <w:b w:val="1"/>
                <w:bCs w:val="1"/>
                <w:color w:val="auto"/>
              </w:rPr>
              <w:t>Pending Correction</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Borders>
              <w:lef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included:  X</w:t>
            </w:r>
          </w:p>
        </w:tc>
        <w:tc>
          <w:tcPr>
            <w:tcW w:w="220" w:type="dxa"/>
            <w:vAlign w:val="bottom"/>
            <w:tcBorders>
              <w:right w:val="single" w:sz="8" w:color="auto"/>
            </w:tcBorders>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 Corrected</w:t>
            </w:r>
          </w:p>
        </w:tc>
        <w:tc>
          <w:tcPr>
            <w:tcW w:w="120" w:type="dxa"/>
            <w:vAlign w:val="bottom"/>
            <w:tcBorders>
              <w:right w:val="single" w:sz="8" w:color="auto"/>
            </w:tcBorders>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1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2"/>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in VFCP</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840" w:type="dxa"/>
            <w:vAlign w:val="bottom"/>
            <w:tcBorders>
              <w:left w:val="single" w:sz="8" w:color="auto"/>
              <w:bottom w:val="single" w:sz="8" w:color="auto"/>
              <w:right w:val="single" w:sz="8" w:color="auto"/>
            </w:tcBorders>
            <w:gridSpan w:val="3"/>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tcBorders>
              <w:left w:val="single" w:sz="8" w:color="CCEEFF"/>
            </w:tcBorders>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Delinquent contributions for the year ended</w:t>
            </w: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-1362710</wp:posOffset>
            </wp:positionV>
            <wp:extent cx="825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53149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-1362710</wp:posOffset>
            </wp:positionV>
            <wp:extent cx="8255" cy="1011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0115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00"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ORANGE COUNTY BANCORP, INC. 401(K) Plan SCHEDULE OF ASSETS (HELD AT YEAR END) – SCHEDULE H, PART IV, LINE 4i AS OF DECEMBER 31, 2025</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 −SCHEDULE OF ASSETS (HELD AT END OF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C B, I. 401() P EIN 26 1135778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NUMBER 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YEAR 01/01/2025 TO 12/31/2025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CGS2339 ANNUITY CONTRACT NUMBER 4-77972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151765</wp:posOffset>
            </wp:positionV>
            <wp:extent cx="8890" cy="3386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33864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151765</wp:posOffset>
            </wp:positionV>
            <wp:extent cx="8255" cy="3386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3864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151765</wp:posOffset>
            </wp:positionV>
            <wp:extent cx="8255" cy="3386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33864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151765</wp:posOffset>
            </wp:positionV>
            <wp:extent cx="8890" cy="3386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38645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60" w:type="dxa"/>
            <w:vAlign w:val="bottom"/>
            <w:tcBorders>
              <w:top w:val="single" w:sz="8" w:color="auto"/>
              <w:lef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Borders>
              <w:top w:val="single" w:sz="8" w:color="auto"/>
            </w:tcBorders>
          </w:tcPr>
          <w:p>
            <w:pPr>
              <w:spacing w:after="0"/>
              <w:rPr>
                <w:sz w:val="11"/>
                <w:szCs w:val="11"/>
                <w:color w:val="auto"/>
              </w:rPr>
            </w:pPr>
          </w:p>
        </w:tc>
        <w:tc>
          <w:tcPr>
            <w:tcW w:w="45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w:t>
            </w:r>
          </w:p>
        </w:tc>
        <w:tc>
          <w:tcPr>
            <w:tcW w:w="190" w:type="dxa"/>
            <w:vAlign w:val="bottom"/>
            <w:tcBorders>
              <w:top w:val="single" w:sz="8" w:color="auto"/>
            </w:tcBorders>
          </w:tcPr>
          <w:p>
            <w:pPr>
              <w:spacing w:after="0"/>
              <w:rPr>
                <w:sz w:val="11"/>
                <w:szCs w:val="11"/>
                <w:color w:val="auto"/>
              </w:rPr>
            </w:pPr>
          </w:p>
        </w:tc>
        <w:tc>
          <w:tcPr>
            <w:tcW w:w="610" w:type="dxa"/>
            <w:vAlign w:val="bottom"/>
            <w:tcBorders>
              <w:top w:val="single" w:sz="8" w:color="auto"/>
            </w:tcBorders>
          </w:tcPr>
          <w:p>
            <w:pPr>
              <w:jc w:val="center"/>
              <w:ind w:right="82"/>
              <w:spacing w:after="0" w:line="135" w:lineRule="exact"/>
              <w:rPr>
                <w:sz w:val="20"/>
                <w:szCs w:val="20"/>
                <w:color w:val="auto"/>
              </w:rPr>
            </w:pPr>
            <w:r>
              <w:rPr>
                <w:rFonts w:ascii="Times New Roman" w:cs="Times New Roman" w:eastAsia="Times New Roman" w:hAnsi="Times New Roman"/>
                <w:sz w:val="14"/>
                <w:szCs w:val="14"/>
                <w:b w:val="1"/>
                <w:bCs w:val="1"/>
                <w:color w:val="auto"/>
              </w:rPr>
              <w:t>(D)</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(E)</w:t>
            </w:r>
          </w:p>
        </w:tc>
        <w:tc>
          <w:tcPr>
            <w:tcW w:w="20" w:type="dxa"/>
            <w:vAlign w:val="bottom"/>
            <w:tcBorders>
              <w:top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0" w:type="dxa"/>
            <w:vAlign w:val="bottom"/>
            <w:tcBorders>
              <w:left w:val="single" w:sz="8" w:color="auto"/>
            </w:tcBorders>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Identity of issuer, borrower, lessor or</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5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w:t>
            </w:r>
          </w:p>
        </w:tc>
        <w:tc>
          <w:tcPr>
            <w:tcW w:w="19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10" w:type="dxa"/>
            <w:vAlign w:val="bottom"/>
          </w:tcPr>
          <w:p>
            <w:pPr>
              <w:jc w:val="center"/>
              <w:ind w:right="82"/>
              <w:spacing w:after="0" w:line="151" w:lineRule="exact"/>
              <w:rPr>
                <w:sz w:val="20"/>
                <w:szCs w:val="20"/>
                <w:color w:val="auto"/>
              </w:rPr>
            </w:pPr>
            <w:r>
              <w:rPr>
                <w:rFonts w:ascii="Times New Roman" w:cs="Times New Roman" w:eastAsia="Times New Roman" w:hAnsi="Times New Roman"/>
                <w:sz w:val="12"/>
                <w:szCs w:val="12"/>
                <w:b w:val="1"/>
                <w:bCs w:val="1"/>
                <w:color w:val="auto"/>
              </w:rPr>
              <w:t>Cost</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68"/>
              <w:spacing w:after="0" w:line="151"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140" w:type="dxa"/>
            <w:vAlign w:val="bottom"/>
            <w:tcBorders>
              <w:bottom w:val="single" w:sz="8" w:color="auto"/>
            </w:tcBorders>
            <w:vMerge w:val="continue"/>
          </w:tcPr>
          <w:p>
            <w:pPr>
              <w:spacing w:after="0"/>
              <w:rPr>
                <w:sz w:val="15"/>
                <w:szCs w:val="15"/>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collateral, par or maturity value.</w:t>
            </w:r>
          </w:p>
        </w:tc>
        <w:tc>
          <w:tcPr>
            <w:tcW w:w="190" w:type="dxa"/>
            <w:vAlign w:val="bottom"/>
            <w:tcBorders>
              <w:bottom w:val="single" w:sz="8" w:color="auto"/>
            </w:tcBorders>
            <w:vMerge w:val="continue"/>
          </w:tcPr>
          <w:p>
            <w:pPr>
              <w:spacing w:after="0"/>
              <w:rPr>
                <w:sz w:val="15"/>
                <w:szCs w:val="15"/>
                <w:color w:val="auto"/>
              </w:rPr>
            </w:pPr>
          </w:p>
        </w:tc>
        <w:tc>
          <w:tcPr>
            <w:tcW w:w="630" w:type="dxa"/>
            <w:vAlign w:val="bottom"/>
            <w:tcBorders>
              <w:bottom w:val="single" w:sz="8" w:color="auto"/>
            </w:tcBorders>
            <w:gridSpan w:val="2"/>
          </w:tcPr>
          <w:p>
            <w:pPr>
              <w:ind w:left="53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Baird</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Registered Investment Company BAIRD AGGREGATE BOND INST FUND</w:t>
            </w:r>
          </w:p>
        </w:tc>
        <w:tc>
          <w:tcPr>
            <w:tcW w:w="190" w:type="dxa"/>
            <w:vAlign w:val="bottom"/>
            <w:tcBorders>
              <w:bottom w:val="single" w:sz="8" w:color="auto"/>
            </w:tcBorders>
            <w:shd w:val="clear" w:color="auto" w:fill="CCEEFF"/>
          </w:tcPr>
          <w:p>
            <w:pPr>
              <w:spacing w:after="0"/>
              <w:rPr>
                <w:sz w:val="12"/>
                <w:szCs w:val="12"/>
                <w:color w:val="auto"/>
              </w:rPr>
            </w:pPr>
          </w:p>
        </w:tc>
        <w:tc>
          <w:tcPr>
            <w:tcW w:w="630" w:type="dxa"/>
            <w:vAlign w:val="bottom"/>
            <w:tcBorders>
              <w:bottom w:val="single" w:sz="8" w:color="auto"/>
            </w:tcBorders>
            <w:gridSpan w:val="2"/>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302,295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GREAT GRAY TRUST COMPANY</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INTERNATIONAL STOCK I1 FUND</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49,800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GREAT GRAY TRUST COMPANY</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LARGE CAP GROWTH I1 FUND</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1,170,214</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GREAT GRAY TRUST COMPANY</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LARGE CAP VALUE I1 FUND</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435,576</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Reliance Trust Company</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METLIFE SV FD SER 25053 CL 0</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1,942,908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ORANGE COUNTY BANCORP</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Employer Security ORANGE COUNTY BANCORP STOCK</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3,760,136</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Putnam Fiduciary Trust Company</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PUTNAM STABLE VALUE FUND (15)</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22,413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GREAT GRAY TRUST COMPANY</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SMALL CAP GR FD FEE CL I1</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78,660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GREAT GRAY TRUST COMPANY</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SMALL CAP VALUE II I1 FUND</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24,360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Bearing Cash SS CASH SER US GOVT FD CL G</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1,111,249</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INTL INDEX SL FD CLASS IX</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634,738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RUSSELL SC IDX SEC LND II</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784,521</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SP MCP ID SEC LND SRS XIV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2,022,924</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SP 500 IDX SEC LND SER II</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6,511,288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 RET 2070 SEC LND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41,961</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SEC LND IV FD</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190,581</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2025 SEC LD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1,530,661</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2030 SEC LD IV</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4,585,509</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2035 SEC LD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2,448,748</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2040 SEC LD IV</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1,535,460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2045 SEC LD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1,478,864</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2050 SEC LD IV</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970,630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2055 SEC LD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861,814</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2060 SEC LD IV</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541,584</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TARGET RET 2065 SEC LD 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376,480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SSGA US IN PRO BD IDX SL CL II</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176,727</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Registered Investment Company STATE ST US LG GOV BD IDX NL C</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130,040</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STATE STREET REIT INDEX II</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234,743</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STATE STREET GLOBAL ADV TRUST CO</w:t>
            </w:r>
          </w:p>
        </w:tc>
        <w:tc>
          <w:tcPr>
            <w:tcW w:w="140" w:type="dxa"/>
            <w:vAlign w:val="bottom"/>
            <w:tcBorders>
              <w:bottom w:val="single" w:sz="8" w:color="auto"/>
            </w:tcBorders>
            <w:shd w:val="clear" w:color="auto" w:fill="CCEEFF"/>
          </w:tcPr>
          <w:p>
            <w:pPr>
              <w:spacing w:after="0"/>
              <w:rPr>
                <w:sz w:val="12"/>
                <w:szCs w:val="12"/>
                <w:color w:val="auto"/>
              </w:rPr>
            </w:pPr>
          </w:p>
        </w:tc>
        <w:tc>
          <w:tcPr>
            <w:tcW w:w="45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Common/Collective Trust STATE STREET US BD ID SL XIV</w:t>
            </w:r>
          </w:p>
        </w:tc>
        <w:tc>
          <w:tcPr>
            <w:tcW w:w="190" w:type="dxa"/>
            <w:vAlign w:val="bottom"/>
            <w:tcBorders>
              <w:bottom w:val="single" w:sz="8" w:color="auto"/>
            </w:tcBorders>
            <w:shd w:val="clear" w:color="auto" w:fill="CCEEFF"/>
          </w:tcPr>
          <w:p>
            <w:pPr>
              <w:spacing w:after="0"/>
              <w:rPr>
                <w:sz w:val="12"/>
                <w:szCs w:val="12"/>
                <w:color w:val="auto"/>
              </w:rPr>
            </w:pPr>
          </w:p>
        </w:tc>
        <w:tc>
          <w:tcPr>
            <w:tcW w:w="61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97,485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Participant Loans</w:t>
            </w:r>
          </w:p>
        </w:tc>
        <w:tc>
          <w:tcPr>
            <w:tcW w:w="14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Range of Interest Rates Range From 4.25% To 9.50%</w:t>
            </w:r>
          </w:p>
        </w:tc>
        <w:tc>
          <w:tcPr>
            <w:tcW w:w="190" w:type="dxa"/>
            <w:vAlign w:val="bottom"/>
            <w:tcBorders>
              <w:bottom w:val="single" w:sz="8" w:color="auto"/>
            </w:tcBorders>
          </w:tcPr>
          <w:p>
            <w:pPr>
              <w:spacing w:after="0"/>
              <w:rPr>
                <w:sz w:val="12"/>
                <w:szCs w:val="12"/>
                <w:color w:val="auto"/>
              </w:rPr>
            </w:pPr>
          </w:p>
        </w:tc>
        <w:tc>
          <w:tcPr>
            <w:tcW w:w="61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672,981</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7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Assets under investment with Principal Trust Company</w:t>
            </w:r>
          </w:p>
        </w:tc>
        <w:tc>
          <w:tcPr>
            <w:tcW w:w="190" w:type="dxa"/>
            <w:vAlign w:val="bottom"/>
          </w:tcPr>
          <w:p>
            <w:pPr>
              <w:spacing w:after="0"/>
              <w:rPr>
                <w:sz w:val="12"/>
                <w:szCs w:val="12"/>
                <w:color w:val="auto"/>
              </w:rPr>
            </w:pPr>
          </w:p>
        </w:tc>
        <w:tc>
          <w:tcPr>
            <w:tcW w:w="61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34,725,350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6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Cost information is not required for participant directed investments.</w:t>
      </w:r>
    </w:p>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investment assets which were both acquired and disposed of within the plan year. 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plan) have duly caused this annual report to be signed on its behalf by the undersigned 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ORANGE COUNTY BANCORP, INC. 401(k) PLAN</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Michael J. Gilfeather</w:t>
            </w:r>
          </w:p>
        </w:tc>
      </w:tr>
      <w:tr>
        <w:trPr>
          <w:trHeight w:val="191"/>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J. Gilfeather</w:t>
            </w:r>
          </w:p>
        </w:tc>
      </w:tr>
      <w:tr>
        <w:trPr>
          <w:trHeight w:val="234"/>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Exhibit Number</w:t>
            </w:r>
          </w:p>
        </w:tc>
        <w:tc>
          <w:tcPr>
            <w:tcW w:w="8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25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Wolf &amp; Company, P.C.</w:t>
            </w:r>
          </w:p>
        </w:tc>
        <w:tc>
          <w:tcPr>
            <w:tcW w:w="592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333-258668 and No. 333-267107) on Form S-8 of Orange County Bancorp, Inc. of our report dated June 25, 2026, relating to our audit of the financial statements and supplemental schedules of Orange County Bancorp, Inc. 401(k) Plan, which appears in this Annual Report on Form 11-K of Orange County Bancorp, Inc. 401(k) Plan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upperLetter"/>
      <w:start w:val="1"/>
    </w:lvl>
    <w:lvl w:ilvl="1">
      <w:lvlJc w:val="left"/>
      <w:lvlText w:val="%2."/>
      <w:numFmt w:val="upperLetter"/>
      <w:start w:val="1"/>
    </w:lvl>
  </w:abstractNum>
  <w:abstractNum w:abstractNumId="2">
    <w:nsid w:val="238E1F29"/>
    <w:multiLevelType w:val="hybridMultilevel"/>
    <w:lvl w:ilvl="0">
      <w:lvlJc w:val="left"/>
      <w:lvlText w:val="%1:"/>
      <w:numFmt w:val="upperLetter"/>
      <w:start w:val="2"/>
    </w:lvl>
    <w:lvl w:ilvl="1">
      <w:lvlJc w:val="left"/>
      <w:lvlText w:val="%2"/>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2026-06-25T12:00:56Z</dcterms:created>
  <dcterms:modified xsi:type="dcterms:W3CDTF">2026-06-25T12:00:56Z</dcterms:modified>
</cp:coreProperties>
</file>