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414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Gilfeather Michael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212 DOLSON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Orange County Bancorp, Inc. /DE/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OBT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5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540" w:space="29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MIDDLETOWN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16,853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126,200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(1)(2)(3)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9,438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135,638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(1)(2)(3)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6,189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129,449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(1)(2)(3)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31.2499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26,460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-2020570</wp:posOffset>
            </wp:positionV>
            <wp:extent cx="29210" cy="20256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21,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20,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on December 31,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which vest at a rate of 1/3 per year commencing on March 19,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which vest on March 19, 2029.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common stock and becomes payable upon the reporting person's separation of service as a director.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Staub, pursuant to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power of attorney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2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33208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2026-03-23T16:43:56Z</dcterms:created>
  <dcterms:modified xsi:type="dcterms:W3CDTF">2026-03-23T16:43:56Z</dcterms:modified>
</cp:coreProperties>
</file>