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UNITED STATES</w:t>
      </w:r>
    </w:p>
    <w:p>
      <w:pPr>
        <w:spacing w:after="0" w:line="19"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4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FORM 8-K</w:t>
      </w:r>
    </w:p>
    <w:p>
      <w:pPr>
        <w:spacing w:after="0" w:line="163" w:lineRule="exact"/>
        <w:rPr>
          <w:sz w:val="24"/>
          <w:szCs w:val="24"/>
          <w:color w:val="auto"/>
        </w:rPr>
      </w:pPr>
    </w:p>
    <w:tbl>
      <w:tblPr>
        <w:tblLayout w:type="fixed"/>
        <w:tblInd w:w="2108" w:type="dxa"/>
        <w:tblCellMar>
          <w:top w:w="0" w:type="dxa"/>
          <w:left w:w="0" w:type="dxa"/>
          <w:bottom w:w="0" w:type="dxa"/>
          <w:right w:w="0" w:type="dxa"/>
        </w:tblCellMar>
      </w:tblPr>
      <w:tr>
        <w:trPr>
          <w:trHeight w:val="190"/>
        </w:trPr>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940" w:type="dxa"/>
            <w:vAlign w:val="bottom"/>
            <w:gridSpan w:val="5"/>
          </w:tcPr>
          <w:p>
            <w:pPr>
              <w:jc w:val="center"/>
              <w:ind w:right="2080"/>
              <w:spacing w:after="0"/>
              <w:rPr>
                <w:sz w:val="20"/>
                <w:szCs w:val="20"/>
                <w:color w:val="auto"/>
              </w:rPr>
            </w:pPr>
            <w:r>
              <w:rPr>
                <w:rFonts w:ascii="Times New Roman" w:cs="Times New Roman" w:eastAsia="Times New Roman" w:hAnsi="Times New Roman"/>
                <w:sz w:val="14"/>
                <w:szCs w:val="14"/>
                <w:b w:val="1"/>
                <w:bCs w:val="1"/>
                <w:color w:val="auto"/>
              </w:rPr>
              <w:t>CURRENT REPORT</w:t>
            </w:r>
          </w:p>
        </w:tc>
      </w:tr>
      <w:tr>
        <w:trPr>
          <w:trHeight w:val="298"/>
        </w:trPr>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500" w:type="dxa"/>
            <w:vAlign w:val="bottom"/>
            <w:gridSpan w:val="6"/>
          </w:tcPr>
          <w:p>
            <w:pPr>
              <w:jc w:val="center"/>
              <w:ind w:right="1540"/>
              <w:spacing w:after="0"/>
              <w:rPr>
                <w:sz w:val="20"/>
                <w:szCs w:val="20"/>
                <w:color w:val="auto"/>
              </w:rPr>
            </w:pPr>
            <w:r>
              <w:rPr>
                <w:rFonts w:ascii="Times New Roman" w:cs="Times New Roman" w:eastAsia="Times New Roman" w:hAnsi="Times New Roman"/>
                <w:sz w:val="14"/>
                <w:szCs w:val="14"/>
                <w:color w:val="auto"/>
              </w:rPr>
              <w:t>PURSUANT TO SECTION 13 OR 15(D) OF</w:t>
            </w:r>
          </w:p>
        </w:tc>
      </w:tr>
      <w:tr>
        <w:trPr>
          <w:trHeight w:val="188"/>
        </w:trPr>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500" w:type="dxa"/>
            <w:vAlign w:val="bottom"/>
            <w:gridSpan w:val="6"/>
          </w:tcPr>
          <w:p>
            <w:pPr>
              <w:jc w:val="center"/>
              <w:ind w:right="1520"/>
              <w:spacing w:after="0"/>
              <w:rPr>
                <w:sz w:val="20"/>
                <w:szCs w:val="20"/>
                <w:color w:val="auto"/>
              </w:rPr>
            </w:pPr>
            <w:r>
              <w:rPr>
                <w:rFonts w:ascii="Times New Roman" w:cs="Times New Roman" w:eastAsia="Times New Roman" w:hAnsi="Times New Roman"/>
                <w:sz w:val="14"/>
                <w:szCs w:val="14"/>
                <w:color w:val="auto"/>
              </w:rPr>
              <w:t>THE SECURITIES EXCHANGE ACT OF 1934</w:t>
            </w:r>
          </w:p>
        </w:tc>
      </w:tr>
      <w:tr>
        <w:trPr>
          <w:trHeight w:val="324"/>
        </w:trPr>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140" w:type="dxa"/>
            <w:vAlign w:val="bottom"/>
            <w:gridSpan w:val="7"/>
          </w:tcPr>
          <w:p>
            <w:pPr>
              <w:jc w:val="center"/>
              <w:ind w:right="900"/>
              <w:spacing w:after="0"/>
              <w:rPr>
                <w:sz w:val="20"/>
                <w:szCs w:val="20"/>
                <w:color w:val="auto"/>
              </w:rPr>
            </w:pPr>
            <w:r>
              <w:rPr>
                <w:rFonts w:ascii="Times New Roman" w:cs="Times New Roman" w:eastAsia="Times New Roman" w:hAnsi="Times New Roman"/>
                <w:sz w:val="14"/>
                <w:szCs w:val="14"/>
                <w:color w:val="auto"/>
              </w:rPr>
              <w:t>Date of Report (Date of earliest event reported): October 28, 2026</w:t>
            </w:r>
          </w:p>
        </w:tc>
      </w:tr>
      <w:tr>
        <w:trPr>
          <w:trHeight w:val="289"/>
        </w:trPr>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Orange County Bancorp, Inc.</w:t>
            </w:r>
          </w:p>
        </w:tc>
        <w:tc>
          <w:tcPr>
            <w:tcW w:w="2100" w:type="dxa"/>
            <w:vAlign w:val="bottom"/>
            <w:gridSpan w:val="4"/>
          </w:tcPr>
          <w:p>
            <w:pPr>
              <w:spacing w:after="0"/>
              <w:rPr>
                <w:sz w:val="24"/>
                <w:szCs w:val="24"/>
                <w:color w:val="auto"/>
              </w:rPr>
            </w:pPr>
          </w:p>
        </w:tc>
      </w:tr>
      <w:tr>
        <w:trPr>
          <w:trHeight w:val="177"/>
        </w:trPr>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500" w:type="dxa"/>
            <w:vAlign w:val="bottom"/>
            <w:gridSpan w:val="6"/>
          </w:tcPr>
          <w:p>
            <w:pPr>
              <w:jc w:val="center"/>
              <w:ind w:right="1520"/>
              <w:spacing w:after="0"/>
              <w:rPr>
                <w:sz w:val="20"/>
                <w:szCs w:val="20"/>
                <w:color w:val="auto"/>
              </w:rPr>
            </w:pPr>
            <w:r>
              <w:rPr>
                <w:rFonts w:ascii="Times New Roman" w:cs="Times New Roman" w:eastAsia="Times New Roman" w:hAnsi="Times New Roman"/>
                <w:sz w:val="14"/>
                <w:szCs w:val="14"/>
                <w:color w:val="auto"/>
              </w:rPr>
              <w:t>(Exact Name of Registrant as Specified in Charter)</w:t>
            </w:r>
          </w:p>
        </w:tc>
      </w:tr>
      <w:tr>
        <w:trPr>
          <w:trHeight w:val="307"/>
        </w:trPr>
        <w:tc>
          <w:tcPr>
            <w:tcW w:w="320" w:type="dxa"/>
            <w:vAlign w:val="bottom"/>
          </w:tcPr>
          <w:p>
            <w:pPr>
              <w:spacing w:after="0"/>
              <w:rPr>
                <w:sz w:val="24"/>
                <w:szCs w:val="24"/>
                <w:color w:val="auto"/>
              </w:rPr>
            </w:pPr>
          </w:p>
        </w:tc>
        <w:tc>
          <w:tcPr>
            <w:tcW w:w="110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color w:val="auto"/>
              </w:rPr>
              <w:t>Delaware</w:t>
            </w:r>
          </w:p>
        </w:tc>
        <w:tc>
          <w:tcPr>
            <w:tcW w:w="4940" w:type="dxa"/>
            <w:vAlign w:val="bottom"/>
            <w:gridSpan w:val="6"/>
          </w:tcPr>
          <w:p>
            <w:pPr>
              <w:jc w:val="center"/>
              <w:spacing w:after="0"/>
              <w:rPr>
                <w:sz w:val="20"/>
                <w:szCs w:val="20"/>
                <w:color w:val="auto"/>
              </w:rPr>
            </w:pPr>
            <w:r>
              <w:rPr>
                <w:rFonts w:ascii="Times New Roman" w:cs="Times New Roman" w:eastAsia="Times New Roman" w:hAnsi="Times New Roman"/>
                <w:sz w:val="14"/>
                <w:szCs w:val="14"/>
                <w:color w:val="auto"/>
              </w:rPr>
              <w:t>001</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40711</w:t>
            </w:r>
          </w:p>
        </w:tc>
        <w:tc>
          <w:tcPr>
            <w:tcW w:w="20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38"/>
        </w:trPr>
        <w:tc>
          <w:tcPr>
            <w:tcW w:w="142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color w:val="auto"/>
                <w:w w:val="99"/>
              </w:rPr>
              <w:t>(State or Other Jurisdiction)</w:t>
            </w: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20" w:type="dxa"/>
            <w:vAlign w:val="bottom"/>
            <w:gridSpan w:val="3"/>
          </w:tcPr>
          <w:p>
            <w:pPr>
              <w:jc w:val="center"/>
              <w:ind w:left="866"/>
              <w:spacing w:after="0"/>
              <w:rPr>
                <w:sz w:val="20"/>
                <w:szCs w:val="20"/>
                <w:color w:val="auto"/>
              </w:rPr>
            </w:pPr>
            <w:r>
              <w:rPr>
                <w:rFonts w:ascii="Times New Roman" w:cs="Times New Roman" w:eastAsia="Times New Roman" w:hAnsi="Times New Roman"/>
                <w:sz w:val="11"/>
                <w:szCs w:val="11"/>
                <w:color w:val="auto"/>
                <w:w w:val="98"/>
              </w:rPr>
              <w:t>(Commission File No.)</w:t>
            </w:r>
          </w:p>
        </w:tc>
      </w:tr>
      <w:tr>
        <w:trPr>
          <w:trHeight w:val="162"/>
        </w:trPr>
        <w:tc>
          <w:tcPr>
            <w:tcW w:w="142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color w:val="auto"/>
                <w:w w:val="98"/>
              </w:rPr>
              <w:t>of Incorporation)</w:t>
            </w: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301"/>
        </w:trPr>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140" w:type="dxa"/>
            <w:vAlign w:val="bottom"/>
            <w:gridSpan w:val="7"/>
          </w:tcPr>
          <w:p>
            <w:pPr>
              <w:jc w:val="center"/>
              <w:ind w:right="1280"/>
              <w:spacing w:after="0"/>
              <w:rPr>
                <w:sz w:val="20"/>
                <w:szCs w:val="20"/>
                <w:color w:val="auto"/>
              </w:rPr>
            </w:pPr>
            <w:r>
              <w:rPr>
                <w:rFonts w:ascii="Times New Roman" w:cs="Times New Roman" w:eastAsia="Times New Roman" w:hAnsi="Times New Roman"/>
                <w:sz w:val="14"/>
                <w:szCs w:val="14"/>
                <w:color w:val="auto"/>
              </w:rPr>
              <w:t>212 Dolson Avenue, Middletown, New York</w:t>
            </w:r>
          </w:p>
        </w:tc>
      </w:tr>
      <w:tr>
        <w:trPr>
          <w:trHeight w:val="138"/>
        </w:trPr>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580" w:type="dxa"/>
            <w:vAlign w:val="bottom"/>
            <w:tcBorders>
              <w:top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1"/>
                <w:szCs w:val="11"/>
                <w:color w:val="auto"/>
                <w:w w:val="97"/>
              </w:rPr>
              <w:t>(Address of Principal Executive Offices)</w:t>
            </w:r>
          </w:p>
        </w:tc>
        <w:tc>
          <w:tcPr>
            <w:tcW w:w="1920" w:type="dxa"/>
            <w:vAlign w:val="bottom"/>
            <w:gridSpan w:val="3"/>
          </w:tcPr>
          <w:p>
            <w:pPr>
              <w:spacing w:after="0"/>
              <w:rPr>
                <w:sz w:val="12"/>
                <w:szCs w:val="12"/>
                <w:color w:val="auto"/>
              </w:rPr>
            </w:pPr>
          </w:p>
        </w:tc>
      </w:tr>
    </w:tbl>
    <w:p>
      <w:pPr>
        <w:spacing w:after="0" w:line="310" w:lineRule="exact"/>
        <w:rPr>
          <w:sz w:val="24"/>
          <w:szCs w:val="24"/>
          <w:color w:val="auto"/>
        </w:rPr>
      </w:pPr>
    </w:p>
    <w:p>
      <w:pPr>
        <w:ind w:left="8"/>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u w:val="single" w:color="auto"/>
          <w:color w:val="auto"/>
        </w:rPr>
        <w:t>(845) 341-5000</w:t>
      </w:r>
    </w:p>
    <w:p>
      <w:pPr>
        <w:spacing w:after="0" w:line="16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4"/>
          <w:szCs w:val="14"/>
          <w:u w:val="single" w:color="auto"/>
          <w:color w:val="auto"/>
        </w:rPr>
        <w:t>Not Applicable</w:t>
      </w:r>
    </w:p>
    <w:p>
      <w:pPr>
        <w:spacing w:after="0" w:line="1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309" w:lineRule="exact"/>
        <w:rPr>
          <w:sz w:val="24"/>
          <w:szCs w:val="24"/>
          <w:color w:val="auto"/>
        </w:rPr>
      </w:pPr>
    </w:p>
    <w:p>
      <w:pPr>
        <w:ind w:left="8"/>
        <w:spacing w:after="0" w:line="282" w:lineRule="auto"/>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 (see General Instruction A.2. below):</w:t>
      </w:r>
    </w:p>
    <w:p>
      <w:pPr>
        <w:spacing w:after="0" w:line="108" w:lineRule="exact"/>
        <w:rPr>
          <w:sz w:val="24"/>
          <w:szCs w:val="24"/>
          <w:color w:val="auto"/>
        </w:rPr>
      </w:pPr>
    </w:p>
    <w:p>
      <w:pPr>
        <w:ind w:left="328" w:hanging="328"/>
        <w:spacing w:after="0"/>
        <w:tabs>
          <w:tab w:leader="none" w:pos="328"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235" w:lineRule="exact"/>
        <w:rPr>
          <w:rFonts w:ascii="MS PGothic" w:cs="MS PGothic" w:eastAsia="MS PGothic" w:hAnsi="MS PGothic"/>
          <w:sz w:val="14"/>
          <w:szCs w:val="14"/>
          <w:color w:val="auto"/>
        </w:rPr>
      </w:pPr>
    </w:p>
    <w:p>
      <w:pPr>
        <w:ind w:left="328" w:hanging="328"/>
        <w:spacing w:after="0"/>
        <w:tabs>
          <w:tab w:leader="none" w:pos="328"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72" w:lineRule="exact"/>
        <w:rPr>
          <w:rFonts w:ascii="MS PGothic" w:cs="MS PGothic" w:eastAsia="MS PGothic" w:hAnsi="MS PGothic"/>
          <w:sz w:val="14"/>
          <w:szCs w:val="14"/>
          <w:color w:val="auto"/>
        </w:rPr>
      </w:pPr>
    </w:p>
    <w:p>
      <w:pPr>
        <w:ind w:left="328" w:hanging="328"/>
        <w:spacing w:after="0"/>
        <w:tabs>
          <w:tab w:leader="none" w:pos="328"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72" w:lineRule="exact"/>
        <w:rPr>
          <w:rFonts w:ascii="MS PGothic" w:cs="MS PGothic" w:eastAsia="MS PGothic" w:hAnsi="MS PGothic"/>
          <w:sz w:val="14"/>
          <w:szCs w:val="14"/>
          <w:color w:val="auto"/>
        </w:rPr>
      </w:pPr>
    </w:p>
    <w:p>
      <w:pPr>
        <w:ind w:left="8" w:right="4520" w:hanging="8"/>
        <w:spacing w:after="0" w:line="590" w:lineRule="auto"/>
        <w:tabs>
          <w:tab w:leader="none" w:pos="332"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 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191"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4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5080" w:type="dxa"/>
            <w:vAlign w:val="bottom"/>
          </w:tcPr>
          <w:p>
            <w:pPr>
              <w:spacing w:after="0"/>
              <w:rPr>
                <w:sz w:val="14"/>
                <w:szCs w:val="14"/>
                <w:color w:val="auto"/>
              </w:rPr>
            </w:pPr>
          </w:p>
        </w:tc>
      </w:tr>
      <w:tr>
        <w:trPr>
          <w:trHeight w:val="182"/>
        </w:trPr>
        <w:tc>
          <w:tcPr>
            <w:tcW w:w="44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5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77"/>
        </w:trPr>
        <w:tc>
          <w:tcPr>
            <w:tcW w:w="4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par value $0.25</w:t>
            </w:r>
          </w:p>
        </w:tc>
        <w:tc>
          <w:tcPr>
            <w:tcW w:w="120" w:type="dxa"/>
            <w:vAlign w:val="bottom"/>
          </w:tcPr>
          <w:p>
            <w:pPr>
              <w:spacing w:after="0"/>
              <w:rPr>
                <w:sz w:val="15"/>
                <w:szCs w:val="15"/>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OBT</w:t>
            </w:r>
          </w:p>
        </w:tc>
        <w:tc>
          <w:tcPr>
            <w:tcW w:w="120" w:type="dxa"/>
            <w:vAlign w:val="bottom"/>
          </w:tcPr>
          <w:p>
            <w:pPr>
              <w:spacing w:after="0"/>
              <w:rPr>
                <w:sz w:val="15"/>
                <w:szCs w:val="15"/>
                <w:color w:val="auto"/>
              </w:rPr>
            </w:pPr>
          </w:p>
        </w:tc>
        <w:tc>
          <w:tcPr>
            <w:tcW w:w="5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117" w:lineRule="exact"/>
        <w:rPr>
          <w:sz w:val="20"/>
          <w:szCs w:val="20"/>
          <w:color w:val="auto"/>
        </w:rPr>
      </w:pPr>
    </w:p>
    <w:p>
      <w:pPr>
        <w:ind w:right="420"/>
        <w:spacing w:after="0" w:line="253" w:lineRule="auto"/>
        <w:rPr>
          <w:sz w:val="20"/>
          <w:szCs w:val="20"/>
          <w:color w:val="auto"/>
        </w:rPr>
      </w:pPr>
      <w:r>
        <w:rPr>
          <w:rFonts w:ascii="Times New Roman" w:cs="Times New Roman" w:eastAsia="Times New Roman" w:hAnsi="Times New Roman"/>
          <w:sz w:val="14"/>
          <w:szCs w:val="14"/>
          <w:color w:val="231F20"/>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0"/>
          <w:szCs w:val="20"/>
          <w:color w:val="auto"/>
        </w:rPr>
      </w:pPr>
    </w:p>
    <w:p>
      <w:pPr>
        <w:ind w:left="9580"/>
        <w:spacing w:after="0"/>
        <w:rPr>
          <w:sz w:val="20"/>
          <w:szCs w:val="20"/>
          <w:color w:val="auto"/>
        </w:rPr>
      </w:pPr>
      <w:r>
        <w:rPr>
          <w:rFonts w:ascii="Times New Roman" w:cs="Times New Roman" w:eastAsia="Times New Roman" w:hAnsi="Times New Roman"/>
          <w:sz w:val="14"/>
          <w:szCs w:val="14"/>
          <w:color w:val="231F20"/>
        </w:rPr>
        <w:t>Emerging growth company</w:t>
      </w:r>
    </w:p>
    <w:p>
      <w:pPr>
        <w:spacing w:after="0" w:line="147" w:lineRule="exact"/>
        <w:rPr>
          <w:sz w:val="20"/>
          <w:szCs w:val="20"/>
          <w:color w:val="auto"/>
        </w:rPr>
      </w:pPr>
    </w:p>
    <w:p>
      <w:pPr>
        <w:ind w:right="60"/>
        <w:spacing w:after="0" w:line="191" w:lineRule="exact"/>
        <w:rPr>
          <w:sz w:val="20"/>
          <w:szCs w:val="20"/>
          <w:color w:val="auto"/>
        </w:rPr>
      </w:pPr>
      <w:r>
        <w:rPr>
          <w:rFonts w:ascii="Times New Roman" w:cs="Times New Roman" w:eastAsia="Times New Roman" w:hAnsi="Times New Roman"/>
          <w:sz w:val="14"/>
          <w:szCs w:val="14"/>
          <w:color w:val="231F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13970</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2" w:name="page3"/>
    <w:bookmarkEnd w:id="2"/>
    <w:p>
      <w:pPr>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Item 2.02</w:t>
      </w:r>
      <w:r>
        <w:rPr>
          <w:sz w:val="20"/>
          <w:szCs w:val="20"/>
          <w:color w:val="auto"/>
        </w:rPr>
        <w:tab/>
      </w:r>
      <w:r>
        <w:rPr>
          <w:rFonts w:ascii="Times New Roman" w:cs="Times New Roman" w:eastAsia="Times New Roman" w:hAnsi="Times New Roman"/>
          <w:sz w:val="14"/>
          <w:szCs w:val="14"/>
          <w:b w:val="1"/>
          <w:bCs w:val="1"/>
          <w:u w:val="single" w:color="auto"/>
          <w:color w:val="auto"/>
        </w:rPr>
        <w:t>Results of Operations and Financial Condition</w:t>
      </w:r>
    </w:p>
    <w:p>
      <w:pPr>
        <w:spacing w:after="0" w:line="1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On October 28, 2026, Orange County Bancorp, Inc. (the “Company”) issued a press release reporting its financial results at and for the three and nine months ended September 30, 2026.</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A copy of the press release is attached as Exhibit 99.1 to this report and is being furnished to the Securities and Exchange Commission and shall not be deemed filed for any purpose.</w:t>
      </w:r>
    </w:p>
    <w:p>
      <w:pPr>
        <w:spacing w:after="0" w:line="16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Item 9.01</w:t>
      </w:r>
      <w:r>
        <w:rPr>
          <w:sz w:val="20"/>
          <w:szCs w:val="20"/>
          <w:color w:val="auto"/>
        </w:rPr>
        <w:tab/>
      </w:r>
      <w:r>
        <w:rPr>
          <w:rFonts w:ascii="Times New Roman" w:cs="Times New Roman" w:eastAsia="Times New Roman" w:hAnsi="Times New Roman"/>
          <w:sz w:val="14"/>
          <w:szCs w:val="14"/>
          <w:b w:val="1"/>
          <w:bCs w:val="1"/>
          <w:u w:val="single" w:color="auto"/>
          <w:color w:val="auto"/>
        </w:rPr>
        <w:t>Financial Statements and Exhibits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30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(a)</w:t>
            </w:r>
          </w:p>
        </w:tc>
        <w:tc>
          <w:tcPr>
            <w:tcW w:w="9000" w:type="dxa"/>
            <w:vAlign w:val="bottom"/>
            <w:gridSpan w:val="3"/>
          </w:tcPr>
          <w:p>
            <w:pPr>
              <w:ind w:left="820"/>
              <w:spacing w:after="0"/>
              <w:rPr>
                <w:sz w:val="20"/>
                <w:szCs w:val="20"/>
                <w:color w:val="auto"/>
              </w:rPr>
            </w:pPr>
            <w:r>
              <w:rPr>
                <w:rFonts w:ascii="Times New Roman" w:cs="Times New Roman" w:eastAsia="Times New Roman" w:hAnsi="Times New Roman"/>
                <w:sz w:val="14"/>
                <w:szCs w:val="14"/>
                <w:color w:val="auto"/>
              </w:rPr>
              <w:t>Financial statements of businesses acquired. None.</w:t>
            </w:r>
          </w:p>
        </w:tc>
        <w:tc>
          <w:tcPr>
            <w:tcW w:w="0" w:type="dxa"/>
            <w:vAlign w:val="bottom"/>
          </w:tcPr>
          <w:p>
            <w:pPr>
              <w:spacing w:after="0"/>
              <w:rPr>
                <w:sz w:val="1"/>
                <w:szCs w:val="1"/>
                <w:color w:val="auto"/>
              </w:rPr>
            </w:pPr>
          </w:p>
        </w:tc>
      </w:tr>
      <w:tr>
        <w:trPr>
          <w:trHeight w:val="324"/>
        </w:trPr>
        <w:tc>
          <w:tcPr>
            <w:tcW w:w="2300" w:type="dxa"/>
            <w:vAlign w:val="bottom"/>
          </w:tcPr>
          <w:p>
            <w:pPr>
              <w:ind w:left="1280"/>
              <w:spacing w:after="0"/>
              <w:rPr>
                <w:sz w:val="20"/>
                <w:szCs w:val="20"/>
                <w:color w:val="auto"/>
              </w:rPr>
            </w:pPr>
            <w:r>
              <w:rPr>
                <w:rFonts w:ascii="Times New Roman" w:cs="Times New Roman" w:eastAsia="Times New Roman" w:hAnsi="Times New Roman"/>
                <w:sz w:val="14"/>
                <w:szCs w:val="14"/>
                <w:color w:val="auto"/>
              </w:rPr>
              <w:t>(b)</w:t>
            </w:r>
          </w:p>
        </w:tc>
        <w:tc>
          <w:tcPr>
            <w:tcW w:w="9000" w:type="dxa"/>
            <w:vAlign w:val="bottom"/>
            <w:gridSpan w:val="3"/>
          </w:tcPr>
          <w:p>
            <w:pPr>
              <w:ind w:left="820"/>
              <w:spacing w:after="0"/>
              <w:rPr>
                <w:sz w:val="20"/>
                <w:szCs w:val="20"/>
                <w:color w:val="auto"/>
              </w:rPr>
            </w:pPr>
            <w:r>
              <w:rPr>
                <w:rFonts w:ascii="Times New Roman" w:cs="Times New Roman" w:eastAsia="Times New Roman" w:hAnsi="Times New Roman"/>
                <w:sz w:val="14"/>
                <w:szCs w:val="14"/>
                <w:color w:val="auto"/>
              </w:rPr>
              <w:t>Pro forma financial information. None.</w:t>
            </w:r>
          </w:p>
        </w:tc>
        <w:tc>
          <w:tcPr>
            <w:tcW w:w="0" w:type="dxa"/>
            <w:vAlign w:val="bottom"/>
          </w:tcPr>
          <w:p>
            <w:pPr>
              <w:spacing w:after="0"/>
              <w:rPr>
                <w:sz w:val="1"/>
                <w:szCs w:val="1"/>
                <w:color w:val="auto"/>
              </w:rPr>
            </w:pPr>
          </w:p>
        </w:tc>
      </w:tr>
      <w:tr>
        <w:trPr>
          <w:trHeight w:val="324"/>
        </w:trPr>
        <w:tc>
          <w:tcPr>
            <w:tcW w:w="230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(c)</w:t>
            </w:r>
          </w:p>
        </w:tc>
        <w:tc>
          <w:tcPr>
            <w:tcW w:w="9000" w:type="dxa"/>
            <w:vAlign w:val="bottom"/>
            <w:gridSpan w:val="3"/>
          </w:tcPr>
          <w:p>
            <w:pPr>
              <w:ind w:left="820"/>
              <w:spacing w:after="0"/>
              <w:rPr>
                <w:sz w:val="20"/>
                <w:szCs w:val="20"/>
                <w:color w:val="auto"/>
              </w:rPr>
            </w:pPr>
            <w:r>
              <w:rPr>
                <w:rFonts w:ascii="Times New Roman" w:cs="Times New Roman" w:eastAsia="Times New Roman" w:hAnsi="Times New Roman"/>
                <w:sz w:val="14"/>
                <w:szCs w:val="14"/>
                <w:color w:val="auto"/>
              </w:rPr>
              <w:t>Shell company transactions: None.</w:t>
            </w:r>
          </w:p>
        </w:tc>
        <w:tc>
          <w:tcPr>
            <w:tcW w:w="0" w:type="dxa"/>
            <w:vAlign w:val="bottom"/>
          </w:tcPr>
          <w:p>
            <w:pPr>
              <w:spacing w:after="0"/>
              <w:rPr>
                <w:sz w:val="1"/>
                <w:szCs w:val="1"/>
                <w:color w:val="auto"/>
              </w:rPr>
            </w:pPr>
          </w:p>
        </w:tc>
      </w:tr>
      <w:tr>
        <w:trPr>
          <w:trHeight w:val="298"/>
        </w:trPr>
        <w:tc>
          <w:tcPr>
            <w:tcW w:w="2300" w:type="dxa"/>
            <w:vAlign w:val="bottom"/>
          </w:tcPr>
          <w:p>
            <w:pPr>
              <w:ind w:left="1280"/>
              <w:spacing w:after="0"/>
              <w:rPr>
                <w:sz w:val="20"/>
                <w:szCs w:val="20"/>
                <w:color w:val="auto"/>
              </w:rPr>
            </w:pPr>
            <w:r>
              <w:rPr>
                <w:rFonts w:ascii="Times New Roman" w:cs="Times New Roman" w:eastAsia="Times New Roman" w:hAnsi="Times New Roman"/>
                <w:sz w:val="14"/>
                <w:szCs w:val="14"/>
                <w:color w:val="auto"/>
              </w:rPr>
              <w:t>(d)</w:t>
            </w:r>
          </w:p>
        </w:tc>
        <w:tc>
          <w:tcPr>
            <w:tcW w:w="252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Exhibits.</w:t>
            </w:r>
          </w:p>
        </w:tc>
        <w:tc>
          <w:tcPr>
            <w:tcW w:w="21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300" w:type="dxa"/>
            <w:vAlign w:val="bottom"/>
          </w:tcPr>
          <w:p>
            <w:pPr>
              <w:spacing w:after="0"/>
              <w:rPr>
                <w:sz w:val="13"/>
                <w:szCs w:val="13"/>
                <w:color w:val="auto"/>
              </w:rPr>
            </w:pPr>
          </w:p>
        </w:tc>
        <w:tc>
          <w:tcPr>
            <w:tcW w:w="2520" w:type="dxa"/>
            <w:vAlign w:val="bottom"/>
          </w:tcPr>
          <w:p>
            <w:pPr>
              <w:ind w:left="820"/>
              <w:spacing w:after="0" w:line="153" w:lineRule="exact"/>
              <w:rPr>
                <w:sz w:val="20"/>
                <w:szCs w:val="20"/>
                <w:color w:val="auto"/>
              </w:rPr>
            </w:pPr>
            <w:r>
              <w:rPr>
                <w:rFonts w:ascii="Times New Roman" w:cs="Times New Roman" w:eastAsia="Times New Roman" w:hAnsi="Times New Roman"/>
                <w:sz w:val="14"/>
                <w:szCs w:val="14"/>
                <w:color w:val="auto"/>
              </w:rPr>
              <w:t>99.1</w:t>
            </w:r>
          </w:p>
        </w:tc>
        <w:tc>
          <w:tcPr>
            <w:tcW w:w="648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0000EE"/>
              </w:rPr>
              <w:t>Press release dated October 28, 2026</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520" w:type="dxa"/>
            <w:vAlign w:val="bottom"/>
            <w:vMerge w:val="restart"/>
          </w:tcPr>
          <w:p>
            <w:pPr>
              <w:ind w:left="820"/>
              <w:spacing w:after="0"/>
              <w:rPr>
                <w:sz w:val="20"/>
                <w:szCs w:val="20"/>
                <w:color w:val="auto"/>
              </w:rPr>
            </w:pPr>
            <w:r>
              <w:rPr>
                <w:rFonts w:ascii="Times New Roman" w:cs="Times New Roman" w:eastAsia="Times New Roman" w:hAnsi="Times New Roman"/>
                <w:sz w:val="14"/>
                <w:szCs w:val="14"/>
                <w:color w:val="auto"/>
              </w:rPr>
              <w:t>104</w:t>
            </w:r>
          </w:p>
        </w:tc>
        <w:tc>
          <w:tcPr>
            <w:tcW w:w="2120" w:type="dxa"/>
            <w:vAlign w:val="bottom"/>
            <w:shd w:val="clear" w:color="auto" w:fill="0000EE"/>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300" w:type="dxa"/>
            <w:vAlign w:val="bottom"/>
          </w:tcPr>
          <w:p>
            <w:pPr>
              <w:spacing w:after="0"/>
              <w:rPr>
                <w:sz w:val="15"/>
                <w:szCs w:val="15"/>
                <w:color w:val="auto"/>
              </w:rPr>
            </w:pPr>
          </w:p>
        </w:tc>
        <w:tc>
          <w:tcPr>
            <w:tcW w:w="2520" w:type="dxa"/>
            <w:vAlign w:val="bottom"/>
            <w:vMerge w:val="continue"/>
          </w:tcPr>
          <w:p>
            <w:pPr>
              <w:spacing w:after="0"/>
              <w:rPr>
                <w:sz w:val="15"/>
                <w:szCs w:val="15"/>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Cover Page for this Current Report on Form 8-K, formatted in Inline XBRL</w:t>
            </w:r>
          </w:p>
        </w:tc>
        <w:tc>
          <w:tcPr>
            <w:tcW w:w="0" w:type="dxa"/>
            <w:vAlign w:val="bottom"/>
          </w:tcPr>
          <w:p>
            <w:pPr>
              <w:spacing w:after="0"/>
              <w:rPr>
                <w:sz w:val="1"/>
                <w:szCs w:val="1"/>
                <w:color w:val="auto"/>
              </w:rPr>
            </w:pPr>
          </w:p>
        </w:tc>
      </w:tr>
      <w:tr>
        <w:trPr>
          <w:trHeight w:val="64"/>
        </w:trPr>
        <w:tc>
          <w:tcPr>
            <w:tcW w:w="2300" w:type="dxa"/>
            <w:vAlign w:val="bottom"/>
            <w:tcBorders>
              <w:bottom w:val="single" w:sz="8" w:color="9A9A9A"/>
            </w:tcBorders>
          </w:tcPr>
          <w:p>
            <w:pPr>
              <w:spacing w:after="0"/>
              <w:rPr>
                <w:sz w:val="5"/>
                <w:szCs w:val="5"/>
                <w:color w:val="auto"/>
              </w:rPr>
            </w:pPr>
          </w:p>
        </w:tc>
        <w:tc>
          <w:tcPr>
            <w:tcW w:w="2520" w:type="dxa"/>
            <w:vAlign w:val="bottom"/>
            <w:tcBorders>
              <w:bottom w:val="single" w:sz="8" w:color="9A9A9A"/>
            </w:tcBorders>
          </w:tcPr>
          <w:p>
            <w:pPr>
              <w:spacing w:after="0"/>
              <w:rPr>
                <w:sz w:val="5"/>
                <w:szCs w:val="5"/>
                <w:color w:val="auto"/>
              </w:rPr>
            </w:pPr>
          </w:p>
        </w:tc>
        <w:tc>
          <w:tcPr>
            <w:tcW w:w="2120" w:type="dxa"/>
            <w:vAlign w:val="bottom"/>
            <w:tcBorders>
              <w:bottom w:val="single" w:sz="8" w:color="9A9A9A"/>
            </w:tcBorders>
          </w:tcPr>
          <w:p>
            <w:pPr>
              <w:spacing w:after="0"/>
              <w:rPr>
                <w:sz w:val="5"/>
                <w:szCs w:val="5"/>
                <w:color w:val="auto"/>
              </w:rPr>
            </w:pPr>
          </w:p>
        </w:tc>
        <w:tc>
          <w:tcPr>
            <w:tcW w:w="4360" w:type="dxa"/>
            <w:vAlign w:val="bottom"/>
            <w:tcBorders>
              <w:bottom w:val="single" w:sz="8" w:color="9A9A9A"/>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63" w:right="299"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54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ORANGE COUNTY BANCORP, INC.</w:t>
            </w:r>
          </w:p>
        </w:tc>
      </w:tr>
      <w:tr>
        <w:trPr>
          <w:trHeight w:val="613"/>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DATE: October 28, 2026</w:t>
            </w:r>
          </w:p>
        </w:tc>
        <w:tc>
          <w:tcPr>
            <w:tcW w:w="16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By:</w:t>
            </w:r>
          </w:p>
        </w:tc>
        <w:tc>
          <w:tcPr>
            <w:tcW w:w="500" w:type="dxa"/>
            <w:vAlign w:val="bottom"/>
          </w:tcPr>
          <w:p>
            <w:pPr>
              <w:spacing w:after="0"/>
              <w:rPr>
                <w:sz w:val="24"/>
                <w:szCs w:val="24"/>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 Michael Lesler</w:t>
            </w:r>
          </w:p>
        </w:tc>
      </w:tr>
      <w:tr>
        <w:trPr>
          <w:trHeight w:val="151"/>
        </w:trPr>
        <w:tc>
          <w:tcPr>
            <w:tcW w:w="24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tcBorders>
              <w:top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Michael Lesler</w:t>
            </w:r>
          </w:p>
        </w:tc>
        <w:tc>
          <w:tcPr>
            <w:tcW w:w="2000" w:type="dxa"/>
            <w:vAlign w:val="bottom"/>
          </w:tcPr>
          <w:p>
            <w:pPr>
              <w:spacing w:after="0"/>
              <w:rPr>
                <w:sz w:val="13"/>
                <w:szCs w:val="13"/>
                <w:color w:val="auto"/>
              </w:rPr>
            </w:pPr>
          </w:p>
        </w:tc>
      </w:tr>
      <w:tr>
        <w:trPr>
          <w:trHeight w:val="188"/>
        </w:trPr>
        <w:tc>
          <w:tcPr>
            <w:tcW w:w="24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540" w:type="dxa"/>
            <w:vAlign w:val="bottom"/>
            <w:gridSpan w:val="3"/>
          </w:tcPr>
          <w:p>
            <w:pPr>
              <w:ind w:left="46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tc>
      </w:tr>
    </w:tbl>
    <w:p>
      <w:pPr>
        <w:sectPr>
          <w:pgSz w:w="11900" w:h="16838" w:orient="portrait"/>
          <w:cols w:equalWidth="0" w:num="1">
            <w:col w:w="10880"/>
          </w:cols>
          <w:pgMar w:left="360" w:top="120" w:right="6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885825" cy="205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885825" cy="205740"/>
                    </a:xfrm>
                    <a:prstGeom prst="rect">
                      <a:avLst/>
                    </a:prstGeom>
                    <a:noFill/>
                  </pic:spPr>
                </pic:pic>
              </a:graphicData>
            </a:graphic>
          </wp:anchor>
        </w:drawing>
        <w:t>FOR IMMEDIATE RELEASE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Orange County Bancorp, Inc. Announces Record Third Quarter Earnings:</w:t>
      </w:r>
    </w:p>
    <w:p>
      <w:pPr>
        <w:spacing w:after="0" w:line="1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color w:val="auto"/>
        </w:rPr>
        <w:t>Net Income increased $2.5 million, or 24.6%, to $12.5 million for the quarter ended September 30, 2026, from $10.0 million for the quarter ended September 30, 2025, marking record third quarter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-52070</wp:posOffset>
            </wp:positionV>
            <wp:extent cx="48260" cy="482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8260" cy="48260"/>
                    </a:xfrm>
                    <a:prstGeom prst="rect">
                      <a:avLst/>
                    </a:prstGeom>
                    <a:noFill/>
                  </pic:spPr>
                </pic:pic>
              </a:graphicData>
            </a:graphic>
          </wp:anchor>
        </w:drawing>
      </w:r>
    </w:p>
    <w:p>
      <w:pPr>
        <w:ind w:left="420"/>
        <w:spacing w:after="0"/>
        <w:rPr>
          <w:sz w:val="20"/>
          <w:szCs w:val="20"/>
          <w:color w:val="auto"/>
        </w:rPr>
      </w:pPr>
      <w:r>
        <w:rPr>
          <w:rFonts w:ascii="Times New Roman" w:cs="Times New Roman" w:eastAsia="Times New Roman" w:hAnsi="Times New Roman"/>
          <w:sz w:val="11"/>
          <w:szCs w:val="11"/>
          <w:color w:val="auto"/>
        </w:rPr>
        <w:t>Net Interest Margin increased 19 basis points, or 4.4%, to 4.45% for the three months ended September 30, 2026, from 4.26% for the three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-55245</wp:posOffset>
            </wp:positionV>
            <wp:extent cx="48260" cy="482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8260" cy="48260"/>
                    </a:xfrm>
                    <a:prstGeom prst="rect">
                      <a:avLst/>
                    </a:prstGeom>
                    <a:noFill/>
                  </pic:spPr>
                </pic:pic>
              </a:graphicData>
            </a:graphic>
          </wp:anchor>
        </w:drawing>
      </w:r>
    </w:p>
    <w:p>
      <w:pPr>
        <w:ind w:left="420"/>
        <w:spacing w:after="0"/>
        <w:rPr>
          <w:sz w:val="20"/>
          <w:szCs w:val="20"/>
          <w:color w:val="auto"/>
        </w:rPr>
      </w:pPr>
      <w:r>
        <w:rPr>
          <w:rFonts w:ascii="Times New Roman" w:cs="Times New Roman" w:eastAsia="Times New Roman" w:hAnsi="Times New Roman"/>
          <w:sz w:val="11"/>
          <w:szCs w:val="11"/>
          <w:color w:val="auto"/>
        </w:rPr>
        <w:t>Total Deposits increased $56.0 million, or 2.4%, to $2.4 billion at September 30, 2026, from $2.3 billion at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-55245</wp:posOffset>
            </wp:positionV>
            <wp:extent cx="48260" cy="482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8260" cy="48260"/>
                    </a:xfrm>
                    <a:prstGeom prst="rect">
                      <a:avLst/>
                    </a:prstGeom>
                    <a:noFill/>
                  </pic:spPr>
                </pic:pic>
              </a:graphicData>
            </a:graphic>
          </wp:anchor>
        </w:drawing>
      </w:r>
    </w:p>
    <w:p>
      <w:pPr>
        <w:ind w:left="420"/>
        <w:spacing w:after="0"/>
        <w:rPr>
          <w:sz w:val="20"/>
          <w:szCs w:val="20"/>
          <w:color w:val="auto"/>
        </w:rPr>
      </w:pPr>
      <w:r>
        <w:rPr>
          <w:rFonts w:ascii="Times New Roman" w:cs="Times New Roman" w:eastAsia="Times New Roman" w:hAnsi="Times New Roman"/>
          <w:sz w:val="11"/>
          <w:szCs w:val="11"/>
          <w:color w:val="auto"/>
        </w:rPr>
        <w:t>Total Loans, including loans held-for-sale, were $2.0 billion at September 30, 2026, a comparable level from December 31, 2025 and up from $1.9 billion at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-55245</wp:posOffset>
            </wp:positionV>
            <wp:extent cx="48260" cy="482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8260" cy="48260"/>
                    </a:xfrm>
                    <a:prstGeom prst="rect">
                      <a:avLst/>
                    </a:prstGeom>
                    <a:noFill/>
                  </pic:spPr>
                </pic:pic>
              </a:graphicData>
            </a:graphic>
          </wp:anchor>
        </w:drawing>
      </w:r>
    </w:p>
    <w:p>
      <w:pPr>
        <w:ind w:left="420"/>
        <w:spacing w:after="0"/>
        <w:rPr>
          <w:sz w:val="20"/>
          <w:szCs w:val="20"/>
          <w:color w:val="auto"/>
        </w:rPr>
      </w:pPr>
      <w:r>
        <w:rPr>
          <w:rFonts w:ascii="Times New Roman" w:cs="Times New Roman" w:eastAsia="Times New Roman" w:hAnsi="Times New Roman"/>
          <w:sz w:val="11"/>
          <w:szCs w:val="11"/>
          <w:color w:val="auto"/>
        </w:rPr>
        <w:t>Earnings per share increased $0.18 per share, or 24.2%, to $0.93 per share for the quarter ended September 30, 2026, from $0.75 per share for the quarter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-55245</wp:posOffset>
            </wp:positionV>
            <wp:extent cx="48260" cy="482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8260" cy="48260"/>
                    </a:xfrm>
                    <a:prstGeom prst="rect">
                      <a:avLst/>
                    </a:prstGeom>
                    <a:noFill/>
                  </pic:spPr>
                </pic:pic>
              </a:graphicData>
            </a:graphic>
          </wp:anchor>
        </w:drawing>
      </w:r>
    </w:p>
    <w:p>
      <w:pPr>
        <w:ind w:left="420"/>
        <w:spacing w:after="0"/>
        <w:rPr>
          <w:sz w:val="20"/>
          <w:szCs w:val="20"/>
          <w:color w:val="auto"/>
        </w:rPr>
      </w:pPr>
      <w:r>
        <w:rPr>
          <w:rFonts w:ascii="Times New Roman" w:cs="Times New Roman" w:eastAsia="Times New Roman" w:hAnsi="Times New Roman"/>
          <w:sz w:val="11"/>
          <w:szCs w:val="11"/>
          <w:color w:val="auto"/>
        </w:rPr>
        <w:t>Book value per share grew $1.77, or 8.3%, to $23.04 at September 30, 2026, from $21.27 at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-55245</wp:posOffset>
            </wp:positionV>
            <wp:extent cx="48260" cy="482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8260" cy="48260"/>
                    </a:xfrm>
                    <a:prstGeom prst="rect">
                      <a:avLst/>
                    </a:prstGeom>
                    <a:noFill/>
                  </pic:spPr>
                </pic:pic>
              </a:graphicData>
            </a:graphic>
          </wp:anchor>
        </w:drawing>
      </w:r>
    </w:p>
    <w:p>
      <w:pPr>
        <w:spacing w:after="0" w:line="33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1"/>
          <w:szCs w:val="11"/>
          <w:b w:val="1"/>
          <w:bCs w:val="1"/>
          <w:color w:val="auto"/>
        </w:rPr>
        <w:t xml:space="preserve">MIDDLETOWN, N.Y., October 28, 2026 </w:t>
      </w:r>
      <w:r>
        <w:rPr>
          <w:rFonts w:ascii="Times New Roman" w:cs="Times New Roman" w:eastAsia="Times New Roman" w:hAnsi="Times New Roman"/>
          <w:sz w:val="11"/>
          <w:szCs w:val="11"/>
          <w:color w:val="auto"/>
        </w:rPr>
        <w:t>– Orange County Bancorp, Inc. (the “Company” - Nasdaq: OBT), parent company of Orange Bank &amp; Trust Co. (the “Bank”) and Orange Investment Advisors, Inc. (“OIA”), today announced net income of $12.5</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million, or $0.93 per basic and diluted share, for the three months ended September 30, 2026. This compares with net income of $10.0 million, or $0.75 per basic and diluted share, for the three months ended September 30, 2025. The increase in earnings per share, basic and diluted, was due primarily to an increase in net interest income, which included a reduction in borrowing costs due to deposit growth, and reduction in provision for credit losses, partially offset by a decrease in noninterest income, resulting from the recognition of bank owned life insurance income in the prior year period. For the nine months ended September 30, 2026, net income reached $37.4 million, or $2.80 per basic and diluted share, as compared to $29.2 million, or $2.39 per basic and diluted share, for the nine months ended September 30, 2025.</w:t>
      </w:r>
    </w:p>
    <w:p>
      <w:pPr>
        <w:spacing w:after="0" w:line="5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1"/>
          <w:szCs w:val="11"/>
          <w:color w:val="auto"/>
        </w:rPr>
        <w:t>Book value per share grew $1.77, or 8.3%, from $21.27 at December 31, 2025 to $23.04 at September 30, 2026. Tangible book value per share grew $1.79, or 8.6%, from $20.83 at December 31, 2025 to $22.62 at September 30, 2026 (see “Non-GAAP Financial Measure Reconciliation” below for additional detail). These increases were due primarily to earnings growth and included the reclassification of treatment of equity compensation during the nine months ended September 30, 2026, as well as reversal of the valuation allowance associated with the deferred tax asset offset by the valuation loss on loans held-for-sale.</w:t>
      </w:r>
    </w:p>
    <w:p>
      <w:pPr>
        <w:spacing w:after="0" w:line="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1"/>
          <w:szCs w:val="11"/>
          <w:color w:val="auto"/>
        </w:rPr>
        <w:t>“I am very pleased to announce record earnings for the third quarter led by strong deposit and loan growth, and further expansion in net interest margin”, said Orange County Bancorp President and CEO Michael Gilfeather. “This marks our third consecutive quarter of record earnings in 2026, a fact made particularly impressive by the challenging macro-economic environment in which we are operating.”</w:t>
      </w:r>
    </w:p>
    <w:p>
      <w:pPr>
        <w:spacing w:after="0" w:line="45"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0"/>
          <w:szCs w:val="10"/>
          <w:color w:val="auto"/>
        </w:rPr>
        <w:t>“For the quarter ended September 30, 2026, the Company earned $12.5 million, up $2.5 million, or 24.6%, from the quarter ended September 30, 2025. The increase reflects greater interest income from our loan portfolio, bolstered by an additional $31.2 million of loan growth during the period. This increased our total loan portfolio to $2.0 billion at quarter end from $1.9 billion at September 30, 2025. The average yield of the loan portfolio during the period was 6.19%, up 16 basis points, or 2.7%, from 6.03% the prior quarter, and up six basis points, or 1%, from 6.13% the same quarter last year. The reduction of our home equity loan portfolio is consistent with our longstanding, strategic, business-bank focus. As stated last quarter, we also plan to reduce our residential loan exposure, with a goal of exiting those loans by year end. In further streamlining and consolidating our operational focus, as well as generating incremental liquidity, we believe these sales better position the Bank to manage interest rate and other risks.</w:t>
      </w:r>
    </w:p>
    <w:p>
      <w:pPr>
        <w:spacing w:after="0" w:line="3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1"/>
          <w:szCs w:val="11"/>
          <w:color w:val="auto"/>
        </w:rPr>
        <w:t>Our deliberate effort to lower deposit costs through organic growth was successful in Q3. Total Deposits grew $56.0 million, or 2.4%, to $2.4 billion at September 30, 2026, from $2.3 billion at September 30, 2025. Much of this growth came in the form of core deposits, enabling us to further reduce our use of higher cost, broker-sourced deposits and borrowings. Success in this effort resulted in an average cost of deposits for the quarter of 0.96%, a level comparable to the prior quarter, but down 16 basis points, or 14.6%, from 1.12% during the same quarter last year. Our low-cost deposit base has long been and remains a key competitive operating advantage of the Bank.</w:t>
      </w:r>
    </w:p>
    <w:p>
      <w:pPr>
        <w:spacing w:after="0" w:line="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1"/>
          <w:szCs w:val="11"/>
          <w:color w:val="auto"/>
        </w:rPr>
        <w:t>Continued growth of our loan and deposit portfolios, along with an increase in loan yields resulted in a commensurate expansion of net interest margin. For the quarter, our net interest margin increased 19 basis points, or 4.4%, to 4.45%, compared with 4.26% for the three months ended September 30, 2025. Our dedicated institutional focus, robust loan origination and underwriting, and strong client relationships contribute to earnings, and they continue to be key drivers behind overall growth.</w:t>
      </w:r>
    </w:p>
    <w:p>
      <w:pPr>
        <w:spacing w:after="0" w:line="4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1"/>
          <w:szCs w:val="11"/>
          <w:color w:val="auto"/>
        </w:rPr>
        <w:t>Our Wealth Management division, comprised of Trust and Advisory businesses, continued to experience uneven results during the quarter. While our Trust services group saw earnings expand in the current quarter, our Investment Advisory business saw reduction in AUM and lower earnings due to last year’s divisional restructuring and challenging fixed-income market performance. Together these businesses generated $4.0 million for the quarter, up a combined $445 thousand or 12.6% from Q3 2025, but still below our long-term goal. Wealth management remains an important source of additional fee income for the Bank and our overall customer focused strategy.</w:t>
      </w:r>
    </w:p>
    <w:p>
      <w:pPr>
        <w:spacing w:after="0" w:line="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1"/>
          <w:szCs w:val="11"/>
          <w:color w:val="auto"/>
        </w:rPr>
        <w:t>Over the past several years, we have consistently demonstrated that diligent implementation of our business strategy by a highly knowledgeable, committed, and empowered team has enabled the Bank to manage the challenges of uncertain and volatile markets. The current quarter and year-to-date September 30, 2026, are no exception and continue to give us confidence in the opportunities ahead. While grateful for our strong recent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67310</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70" w:right="299" w:bottom="1440" w:gutter="0" w:footer="0" w:header="0"/>
        </w:sectPr>
      </w:pPr>
    </w:p>
    <w:bookmarkStart w:id="5" w:name="page6"/>
    <w:bookmarkEnd w:id="5"/>
    <w:p>
      <w:pPr>
        <w:jc w:val="both"/>
        <w:spacing w:after="0" w:line="282" w:lineRule="auto"/>
        <w:rPr>
          <w:sz w:val="20"/>
          <w:szCs w:val="20"/>
          <w:color w:val="auto"/>
        </w:rPr>
      </w:pPr>
      <w:r>
        <w:rPr>
          <w:rFonts w:ascii="Times New Roman" w:cs="Times New Roman" w:eastAsia="Times New Roman" w:hAnsi="Times New Roman"/>
          <w:sz w:val="11"/>
          <w:szCs w:val="11"/>
          <w:color w:val="auto"/>
        </w:rPr>
        <w:t>performance, we don’t take it for granted and will continue to apply our experience and expertise to support our clients, prudently manage risk, and pursue compelling business opportunities. I want to conclude by thanking our employees, customers, and shareholders for their respective efforts, support, and confidence in helping us achieve yet another quarter of record results.”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Third Quarter and Year to Date 2026 Financial Review</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i w:val="1"/>
          <w:iCs w:val="1"/>
          <w:color w:val="auto"/>
        </w:rPr>
        <w:t>Net Income</w:t>
      </w:r>
    </w:p>
    <w:p>
      <w:pPr>
        <w:spacing w:after="0" w:line="4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1"/>
          <w:szCs w:val="11"/>
          <w:color w:val="auto"/>
        </w:rPr>
        <w:t>Net income for the third quarter of 2026 was $12.5 million, an increase of $2.5 million, or 24.6%, from net income of $10.0 million for the third quarter of 2025. The growth in net income represents a combination of increased net interest income and reduced provision for credit losses, partially offset by reduced non-interest income during the quarter. The latter included a decrease in the bank owned life insurance income of $1.2 million in the prior year, as well as increased noninterest expense. Net income for the nine months ended September 30, 2026, was $37.4 million, an increase of $8.2 million, or 28.3%, from net income of $29.2 million for the nine months ended September 30,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i w:val="1"/>
          <w:iCs w:val="1"/>
          <w:color w:val="auto"/>
        </w:rPr>
        <w:t>Net Interest Income</w:t>
      </w:r>
    </w:p>
    <w:p>
      <w:pPr>
        <w:spacing w:after="0" w:line="4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1"/>
          <w:szCs w:val="11"/>
          <w:color w:val="auto"/>
        </w:rPr>
        <w:t>For the three months ended September 30, 2026, net interest income rose $2.9 million, or 11.0%, to $29.9 million as compared to $27.0 million during the same period last year. This reflects an increase in total interest income of $1.7 million as a result of growth in interest and fees associated with loans and a $1.3 million decrease in total interest expense due to lower interest expense resulting from reduced borrowing costs and lower brokered deposit costs during the period. For the nine months ended September 30, 2026, net interest income reached $86.2 million representing an increase of $10.5 million, or 13.9% compared to the same period last year.</w:t>
      </w:r>
    </w:p>
    <w:p>
      <w:pPr>
        <w:spacing w:after="0" w:line="5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1"/>
          <w:szCs w:val="11"/>
          <w:color w:val="auto"/>
        </w:rPr>
        <w:t>Total interest income rose $1.7 million, or 4.9%, to $36.2 million for the three months ended September 30, 2026, compared to $34.5 million for the three months ended September 30, 2025. The increase reflected 4.3% growth in interest and fees associated with loans coupled with increased interest income associated with fed funds and balances held at correspondent banks offset by a net decrease in interest income associated with investment securities. For the nine months ended September 30, 2026, total interest income rose $5.5 million, or 5.5%, to $105.2 million as compared to $99.7 million for the nine months ended September 30, 2025.</w:t>
      </w:r>
    </w:p>
    <w:p>
      <w:pPr>
        <w:spacing w:after="0" w:line="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1"/>
          <w:szCs w:val="11"/>
          <w:color w:val="auto"/>
        </w:rPr>
        <w:t>Total interest expense decreased $1.3 million during the third quarter of 2026, to $6.3 million, as compared to $7.6 million in the third quarter of 2025. Interest expense from FHLB advances and borrowings during the current quarter totaled $100 thousand as compared to $616 thousand during the third quarter of 2025. The decrease was primarily due to lower average balances and costs associated with FHLB borrowings. Interest expense associated with time deposits decreased to $159 thousand for the third quarter of 2026 from $852 thousand for the third quarter of 2025. This decrease represented the impact of lower brokered deposit levels due to increased core deposits over the same time period. Interest expense associated with savings and NOW accounts totaled $5.6 million during the third quarter of 2026 compared to $5.5 million during the third quarter of 2025. Interest expense related to subordinated notes decreased and totaled $429 thousand during the third quarter of 2026 as compared to $617 thousand during the third quarter of 2025. During the nine months ended September 30, 2026, total interest expense fell $5.0 million, to $18.9 million, as compared to $23.9 million for the same period last year.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i w:val="1"/>
          <w:iCs w:val="1"/>
          <w:color w:val="auto"/>
        </w:rPr>
        <w:t>Provision for Credit Losses</w:t>
      </w:r>
    </w:p>
    <w:p>
      <w:pPr>
        <w:spacing w:after="0" w:line="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1"/>
          <w:szCs w:val="11"/>
          <w:color w:val="auto"/>
        </w:rPr>
        <w:t>The Company recognized a provision for credit losses of $809 thousand for the three months ended September 30, 2026 as compared to $3.9 million for the three months ended September 30, 2025. This current quarter provision was due primarily to loan growth and represented appropriate reserves associated with the composition of loans closed during the third quarter of 2026. The allowance for credit losses to loans was 1.38% as of September 30, 2026 versus 1.45% as of December 31, 2025 and 1.51% as of September 30, 2025. For the nine months ended September 30, 2026, the provision for credit losses reflected a recovery of $641 thousand as compared to a provision of $6.2 million for the nine months ended September 30, 2025. No additional reserves for investment securities were recorded during the first nine months of 2026 or 2025.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i w:val="1"/>
          <w:iCs w:val="1"/>
          <w:color w:val="auto"/>
        </w:rPr>
        <w:t>Non-Interest Income</w:t>
      </w:r>
    </w:p>
    <w:p>
      <w:pPr>
        <w:spacing w:after="0" w:line="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1"/>
          <w:szCs w:val="11"/>
          <w:color w:val="auto"/>
        </w:rPr>
        <w:t>Non-interest income decreased $1.4 million, or 20.8%, to $5.4 million for the three months ended September 30, 2026 as compared to $6.8 million for the three months ended September 30, 2025. This reduction was related primarily to the recognition of $1.2 million of income associated with BOLI payments related to insurance death benefits in the prior year and, a $496 thousand decrease in investment advisory income, partially offset by the increase of $941 thousand in trust income and a recognition of a $281 thousand in valuation gain associated with loans held-for-sale. The Company’s other fee income categories remained relatively flat during the quarter and year to date. For the nine months ended September 30, 2026, non-interest income decreased $9.6 million, to $8.9 million, as compared to $18.5 million for the nine months ended September 30, 2025.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i w:val="1"/>
          <w:iCs w:val="1"/>
          <w:color w:val="auto"/>
        </w:rPr>
        <w:t>Non-Interest Expense</w:t>
      </w:r>
    </w:p>
    <w:p>
      <w:pPr>
        <w:spacing w:after="0" w:line="4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0"/>
          <w:szCs w:val="10"/>
          <w:color w:val="auto"/>
        </w:rPr>
        <w:t>Non-interest expense was $17.2 million for the third quarter of 2026, reflecting an increase of $391 thousand, or 2.3%, as compared to $16.8 million for the same period in 2025. The increase in non-interest expense for the current quarter reflected the Company’s investment in growth. This investment during the third quarter was driven by increased professional fees associated with technology and our marketing platform at OIA as well as increased computer expense. Our efficiency ratio, which is a non-GAAP measurement, decreased to 48.8% for the three months ended September 30, 2026, from 49.9% for the same period in 2025. For the nine months ended September 30, 2026, our efficiency ratio increased to 55.1% from 53.2% for the same period in 2025. Adjusted for the impact of the valuation loss on loans held-for-sale, the efficiency ratios for the three and the nine months ended September 30, 2026, would have been 49.2% and 52.6%, respectively (see “Non-GAAP Financial Measure Reconciliation” below for additional detail). Non-interest expense for the nine months ended September 30, 2026 reached $52.4 million, reflecting a $2.3 million increase over non-interest expense of $50.1 million for the nine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391795</wp:posOffset>
            </wp:positionV>
            <wp:extent cx="72034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0"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1"/>
          <w:szCs w:val="11"/>
          <w:b w:val="1"/>
          <w:bCs w:val="1"/>
          <w:i w:val="1"/>
          <w:iCs w:val="1"/>
          <w:color w:val="auto"/>
        </w:rPr>
        <w:t>Income Tax Expense</w:t>
      </w:r>
    </w:p>
    <w:p>
      <w:pPr>
        <w:spacing w:after="0" w:line="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1"/>
          <w:szCs w:val="11"/>
          <w:color w:val="auto"/>
        </w:rPr>
        <w:t>Provision for income taxes for the three months ended September 30, 2026 was $4.8 million, as compared to $3.0 million for the three months ended September 30, 2025. The increase in the provision for income tax was related to the Company’s increase in income before income taxes compared to the same period in the prior year. For the nine months ended September 30, 2026, the provision for income taxes was $6.0 million as compared to $8.7 million for the nine months ended September 30, 2025, due to the impact of reversal of the valuation allowance during second quarter 2026. Our effective tax rate for the three-month period ended September 30, 2026, was 27.6%, as compared to 23.0% for the same period in 2025. Our effective tax rate for the nine-month period ended September 30, 2026, was 13.8%, (which included the effect of the reversal of the valuation allowance during second quarter 2026), as compared to 23.0% for the same period in 2025.</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i w:val="1"/>
          <w:iCs w:val="1"/>
          <w:color w:val="auto"/>
        </w:rPr>
        <w:t>Financial Condition</w:t>
      </w:r>
    </w:p>
    <w:p>
      <w:pPr>
        <w:spacing w:after="0" w:line="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1"/>
          <w:szCs w:val="11"/>
          <w:color w:val="auto"/>
        </w:rPr>
        <w:t>Total consolidated assets increased by $78.4 million, or 2.9%, exceeding $2.7 billion at September 30, 2026, from a comparable level at December 31, 2025. The increase primarily reflects an increase in cash and loans (including loans held-for-sale) during the current nine-month period.</w:t>
      </w:r>
    </w:p>
    <w:p>
      <w:pPr>
        <w:spacing w:after="0" w:line="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1"/>
          <w:szCs w:val="11"/>
          <w:color w:val="auto"/>
        </w:rPr>
        <w:t>Total cash and due from banks increased from $204.2 million at December 31, 2025, to $244.6 million at September 30, 2026, an increase of approximately $40.4 million, or 19.8%. This increase resulted mainly from higher levels of client deposit balances and net cash flows from maturities and paydowns of securities, as well as proceeds from the home equity loan sale which elevated cash levels at quarter end.</w:t>
      </w:r>
    </w:p>
    <w:p>
      <w:pPr>
        <w:spacing w:after="0" w:line="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1"/>
          <w:szCs w:val="11"/>
          <w:color w:val="auto"/>
        </w:rPr>
        <w:t>Total investment securities decreased $33.3 million, or 7.9%, from $419.4 million at December 31, 2025, to $386.1 million at September 30, 2026. The decrease continues to be driven primarily by investment repayments, calls and maturities during the first nine months of 2026.</w:t>
      </w:r>
    </w:p>
    <w:p>
      <w:pPr>
        <w:spacing w:after="0" w:line="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1"/>
          <w:szCs w:val="11"/>
          <w:color w:val="auto"/>
        </w:rPr>
        <w:t>Total loans, including loans held-for-sale, increased $59.1 million, or 3.0%, to $2.0 billion at September 30, 2026, from December 31, 2025. The loan portfolio experienced growth in commercial real estate, commercial real estate construction, and consumer loans offset by decreases in commercial and industrial loans, and home equity lines of credit.</w:t>
      </w:r>
    </w:p>
    <w:p>
      <w:pPr>
        <w:spacing w:after="0" w:line="4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1"/>
          <w:szCs w:val="11"/>
          <w:color w:val="auto"/>
        </w:rPr>
        <w:t>During the nine months ended September 30, 2026, the Company transferred loans with an aggregate principal balance of $68.4 million from the loan portfolio to loans held-for-sale. At the date of transfer, the loans were recorded as held-for-sale at $63.6 million, net of a valuation allowance of $4.8 million. During third quarter 2026, the Company sold $18.4 million of home equity loans from the loans held-for-sale portfolio. As of September 30, 2026, the loans held-for-sale portfolio consisted of approximately $42.6 million of residential real estate loans, net of valuation allowance of $4.5 million.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nine months ended September 30, 2026, also included $129.3 million of loan prepayments compared to $34.8 million for the nine months ended September 30, 2025</w:t>
      </w:r>
      <w:r>
        <w:rPr>
          <w:rFonts w:ascii="Times New Roman" w:cs="Times New Roman" w:eastAsia="Times New Roman" w:hAnsi="Times New Roman"/>
          <w:sz w:val="11"/>
          <w:szCs w:val="11"/>
          <w:color w:val="EE0000"/>
        </w:rPr>
        <w:t>.</w:t>
      </w:r>
    </w:p>
    <w:p>
      <w:pPr>
        <w:spacing w:after="0" w:line="14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0"/>
          <w:szCs w:val="10"/>
          <w:color w:val="auto"/>
        </w:rPr>
        <w:t>Total deposits increased $56.0 million, to $2.4 billion at September 30, 2026, from $2.3 billion at December 31, 2025. The increase was due primarily to a $165.1 million, or 16.4%, increase in savings and money market accounts which totaled approximately $1.2 billion at September 30, 2026, as compared to $1.0 billion at December 31, 2025. Non-interest-bearing demand deposits increased $51.1 million, or 7.0% to $776.8 million at September 30, 2026 from $725.7 million at December 31, 2025. The increase in deposits was partially offset by interest bearing demand deposits which decreased $34.0 million, or 8.1%, to $385.6 million at September 30, 2026, compared to $419.6 million at December 31, 2025. Certificates of deposit represented a $126.3 million decrease as the increased deposit levels of transaction accounts provided for run-off of maturing brokered deposits during the period. Deposit composition at September 30, 2026, included 49.1% in demand deposit accounts (including NOW accounts) as a percentage of total deposits. Uninsured deposits, net of fully collateralized municipal relationships, remain stable and represented approximately 50% and 46% of total deposits at September 30, 2026, and December 31, 2025, respectively.</w:t>
      </w:r>
    </w:p>
    <w:p>
      <w:pPr>
        <w:spacing w:after="0" w:line="4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1"/>
          <w:szCs w:val="11"/>
          <w:color w:val="auto"/>
        </w:rPr>
        <w:t>FHLBNY long-term borrowings remained at $10.0 million at September 30, 2026 and December 31, 2025, respectively. The stability and low level in borrowings represents the effect of deposit growth outpacing loan growth during the quarter, allowing for low borrowing levels and higher cash levels at September 30, 2026.</w:t>
      </w:r>
    </w:p>
    <w:p>
      <w:pPr>
        <w:spacing w:after="0" w:line="4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1"/>
          <w:szCs w:val="11"/>
          <w:color w:val="auto"/>
        </w:rPr>
        <w:t>Stockholders’ equity increased $24.6 million, or 8.7%, to $309.0 million at September 30, 2026, from $284.4 million at December 31, 2025. The increase was due to the effect of $37.4 million in net income as well as a liability-to-equity reclassification of equity awards in the amount of $2.3 million offset by a $9.8 million increase in unrealized losses on the market value of investment securities in the Company’s equity as accumulated other comprehensive income (loss) (“AOCI”), dividends of $7.2 million and $1.9 million increase in stock based compensation, net of taxes during the first nine months of 2026.</w:t>
      </w:r>
    </w:p>
    <w:p>
      <w:pPr>
        <w:spacing w:after="0" w:line="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1"/>
          <w:szCs w:val="11"/>
          <w:color w:val="auto"/>
        </w:rPr>
        <w:t>At September 30, 2026, the Bank maintained capital ratios in excess of regulatory standards for well capitalized institutions. The Bank’s Tier 1 capital-to-average-assets ratio was 13.19%, both common equity and Tier 1 capital-to-risk-weighted-assets were 17.99%, and total-capital-to-risk-weighted-assets was 19.24%.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i w:val="1"/>
          <w:iCs w:val="1"/>
          <w:color w:val="auto"/>
        </w:rPr>
        <w:t>Wealth Management</w:t>
      </w:r>
    </w:p>
    <w:p>
      <w:pPr>
        <w:spacing w:after="0" w:line="4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1"/>
          <w:szCs w:val="11"/>
          <w:color w:val="auto"/>
        </w:rPr>
        <w:t>At September 30, 2026, our Wealth Management Division, which includes trust and investment advisory, held $1.6 billion in assets under management or advisory, as compared to $1.9 billion at December 31, 2025, a 13.0% decrease. Trust and investment advisory income for the three months ended September 30, 2026, was $4.0 million, representing an increase of $445 thousand, or 12.6%, as compared to $3.5 million for the three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21590</wp:posOffset>
            </wp:positionV>
            <wp:extent cx="72034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1"/>
          <w:szCs w:val="11"/>
          <w:color w:val="auto"/>
        </w:rPr>
        <w:t>The breakdown of trust and investment advisory assets as of September 30, 2026 and December 31, 2025, respectively, is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42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0"/>
                <w:szCs w:val="10"/>
                <w:b w:val="1"/>
                <w:bCs w:val="1"/>
                <w:color w:val="auto"/>
              </w:rPr>
              <w:t>At September 30, 2026</w:t>
            </w:r>
          </w:p>
        </w:tc>
        <w:tc>
          <w:tcPr>
            <w:tcW w:w="86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0"/>
                <w:szCs w:val="10"/>
                <w:b w:val="1"/>
                <w:bCs w:val="1"/>
                <w:color w:val="auto"/>
              </w:rPr>
              <w:t>At December 31, 2025</w:t>
            </w:r>
          </w:p>
        </w:tc>
        <w:tc>
          <w:tcPr>
            <w:tcW w:w="900" w:type="dxa"/>
            <w:vAlign w:val="bottom"/>
            <w:tcBorders>
              <w:bottom w:val="single" w:sz="8" w:color="auto"/>
            </w:tcBorders>
          </w:tcPr>
          <w:p>
            <w:pPr>
              <w:spacing w:after="0"/>
              <w:rPr>
                <w:sz w:val="10"/>
                <w:szCs w:val="10"/>
                <w:color w:val="auto"/>
              </w:rPr>
            </w:pPr>
          </w:p>
        </w:tc>
      </w:tr>
      <w:tr>
        <w:trPr>
          <w:trHeight w:val="88"/>
        </w:trPr>
        <w:tc>
          <w:tcPr>
            <w:tcW w:w="542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700" w:type="dxa"/>
            <w:vAlign w:val="bottom"/>
            <w:tcBorders>
              <w:bottom w:val="single" w:sz="8" w:color="auto"/>
            </w:tcBorders>
            <w:gridSpan w:val="3"/>
          </w:tcPr>
          <w:p>
            <w:pPr>
              <w:ind w:left="260"/>
              <w:spacing w:after="0" w:line="88" w:lineRule="exact"/>
              <w:rPr>
                <w:sz w:val="20"/>
                <w:szCs w:val="20"/>
                <w:color w:val="auto"/>
              </w:rPr>
            </w:pPr>
            <w:r>
              <w:rPr>
                <w:rFonts w:ascii="Times New Roman" w:cs="Times New Roman" w:eastAsia="Times New Roman" w:hAnsi="Times New Roman"/>
                <w:sz w:val="10"/>
                <w:szCs w:val="10"/>
                <w:b w:val="1"/>
                <w:bCs w:val="1"/>
                <w:color w:val="auto"/>
              </w:rPr>
              <w:t>Amount</w:t>
            </w:r>
          </w:p>
        </w:tc>
        <w:tc>
          <w:tcPr>
            <w:tcW w:w="860" w:type="dxa"/>
            <w:vAlign w:val="bottom"/>
            <w:tcBorders>
              <w:bottom w:val="single" w:sz="8" w:color="auto"/>
            </w:tcBorders>
          </w:tcPr>
          <w:p>
            <w:pPr>
              <w:jc w:val="right"/>
              <w:ind w:right="413"/>
              <w:spacing w:after="0" w:line="88" w:lineRule="exact"/>
              <w:rPr>
                <w:sz w:val="20"/>
                <w:szCs w:val="20"/>
                <w:color w:val="auto"/>
              </w:rPr>
            </w:pPr>
            <w:r>
              <w:rPr>
                <w:rFonts w:ascii="Times New Roman" w:cs="Times New Roman" w:eastAsia="Times New Roman" w:hAnsi="Times New Roman"/>
                <w:sz w:val="10"/>
                <w:szCs w:val="10"/>
                <w:b w:val="1"/>
                <w:bCs w:val="1"/>
                <w:color w:val="auto"/>
              </w:rPr>
              <w:t>Percent</w:t>
            </w:r>
          </w:p>
        </w:tc>
        <w:tc>
          <w:tcPr>
            <w:tcW w:w="1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gridSpan w:val="3"/>
          </w:tcPr>
          <w:p>
            <w:pPr>
              <w:ind w:left="100"/>
              <w:spacing w:after="0" w:line="88" w:lineRule="exact"/>
              <w:rPr>
                <w:sz w:val="20"/>
                <w:szCs w:val="20"/>
                <w:color w:val="auto"/>
              </w:rPr>
            </w:pPr>
            <w:r>
              <w:rPr>
                <w:rFonts w:ascii="Times New Roman" w:cs="Times New Roman" w:eastAsia="Times New Roman" w:hAnsi="Times New Roman"/>
                <w:sz w:val="10"/>
                <w:szCs w:val="10"/>
                <w:b w:val="1"/>
                <w:bCs w:val="1"/>
                <w:color w:val="auto"/>
              </w:rPr>
              <w:t>Amount</w:t>
            </w:r>
          </w:p>
        </w:tc>
        <w:tc>
          <w:tcPr>
            <w:tcW w:w="900" w:type="dxa"/>
            <w:vAlign w:val="bottom"/>
            <w:tcBorders>
              <w:bottom w:val="single" w:sz="8" w:color="auto"/>
            </w:tcBorders>
          </w:tcPr>
          <w:p>
            <w:pPr>
              <w:jc w:val="right"/>
              <w:ind w:right="432"/>
              <w:spacing w:after="0" w:line="88" w:lineRule="exact"/>
              <w:rPr>
                <w:sz w:val="20"/>
                <w:szCs w:val="20"/>
                <w:color w:val="auto"/>
              </w:rPr>
            </w:pPr>
            <w:r>
              <w:rPr>
                <w:rFonts w:ascii="Times New Roman" w:cs="Times New Roman" w:eastAsia="Times New Roman" w:hAnsi="Times New Roman"/>
                <w:sz w:val="10"/>
                <w:szCs w:val="10"/>
                <w:b w:val="1"/>
                <w:bCs w:val="1"/>
                <w:color w:val="auto"/>
              </w:rPr>
              <w:t>Percent</w:t>
            </w:r>
          </w:p>
        </w:tc>
      </w:tr>
      <w:tr>
        <w:trPr>
          <w:trHeight w:val="74"/>
        </w:trPr>
        <w:tc>
          <w:tcPr>
            <w:tcW w:w="5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60" w:type="dxa"/>
            <w:vAlign w:val="bottom"/>
            <w:gridSpan w:val="3"/>
          </w:tcPr>
          <w:p>
            <w:pPr>
              <w:jc w:val="right"/>
              <w:ind w:right="76"/>
              <w:spacing w:after="0" w:line="74" w:lineRule="exact"/>
              <w:rPr>
                <w:sz w:val="20"/>
                <w:szCs w:val="20"/>
                <w:color w:val="auto"/>
              </w:rPr>
            </w:pPr>
            <w:r>
              <w:rPr>
                <w:rFonts w:ascii="Times New Roman" w:cs="Times New Roman" w:eastAsia="Times New Roman" w:hAnsi="Times New Roman"/>
                <w:sz w:val="8"/>
                <w:szCs w:val="8"/>
                <w:color w:val="auto"/>
              </w:rPr>
              <w:t>(Dollars in thousands)</w:t>
            </w:r>
          </w:p>
        </w:tc>
        <w:tc>
          <w:tcPr>
            <w:tcW w:w="9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900" w:type="dxa"/>
            <w:vAlign w:val="bottom"/>
          </w:tcPr>
          <w:p>
            <w:pPr>
              <w:spacing w:after="0"/>
              <w:rPr>
                <w:sz w:val="6"/>
                <w:szCs w:val="6"/>
                <w:color w:val="auto"/>
              </w:rPr>
            </w:pPr>
          </w:p>
        </w:tc>
      </w:tr>
      <w:tr>
        <w:trPr>
          <w:trHeight w:val="99"/>
        </w:trPr>
        <w:tc>
          <w:tcPr>
            <w:tcW w:w="542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Investment Assets Under Management &amp; Advisory</w:t>
            </w:r>
          </w:p>
        </w:tc>
        <w:tc>
          <w:tcPr>
            <w:tcW w:w="300" w:type="dxa"/>
            <w:vAlign w:val="bottom"/>
          </w:tcPr>
          <w:p>
            <w:pPr>
              <w:jc w:val="right"/>
              <w:ind w:right="192"/>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913,719</w:t>
            </w: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55.65%</w:t>
            </w:r>
          </w:p>
        </w:tc>
        <w:tc>
          <w:tcPr>
            <w:tcW w:w="140" w:type="dxa"/>
            <w:vAlign w:val="bottom"/>
          </w:tcPr>
          <w:p>
            <w:pPr>
              <w:spacing w:after="0"/>
              <w:rPr>
                <w:sz w:val="8"/>
                <w:szCs w:val="8"/>
                <w:color w:val="auto"/>
              </w:rPr>
            </w:pPr>
          </w:p>
        </w:tc>
        <w:tc>
          <w:tcPr>
            <w:tcW w:w="460" w:type="dxa"/>
            <w:vAlign w:val="bottom"/>
          </w:tcPr>
          <w:p>
            <w:pPr>
              <w:jc w:val="right"/>
              <w:ind w:right="396"/>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1,184,317</w:t>
            </w: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9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62.73%</w:t>
            </w:r>
          </w:p>
        </w:tc>
      </w:tr>
      <w:tr>
        <w:trPr>
          <w:trHeight w:val="113"/>
        </w:trPr>
        <w:tc>
          <w:tcPr>
            <w:tcW w:w="5420" w:type="dxa"/>
            <w:vAlign w:val="bottom"/>
          </w:tcPr>
          <w:p>
            <w:pPr>
              <w:spacing w:after="0" w:line="114" w:lineRule="exact"/>
              <w:rPr>
                <w:sz w:val="20"/>
                <w:szCs w:val="20"/>
                <w:color w:val="auto"/>
              </w:rPr>
            </w:pPr>
            <w:r>
              <w:rPr>
                <w:rFonts w:ascii="Times New Roman" w:cs="Times New Roman" w:eastAsia="Times New Roman" w:hAnsi="Times New Roman"/>
                <w:sz w:val="10"/>
                <w:szCs w:val="10"/>
                <w:color w:val="auto"/>
              </w:rPr>
              <w:t>Trust Asset Under Administration &amp; Management</w:t>
            </w:r>
          </w:p>
        </w:tc>
        <w:tc>
          <w:tcPr>
            <w:tcW w:w="3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728,252</w:t>
            </w:r>
          </w:p>
        </w:tc>
        <w:tc>
          <w:tcPr>
            <w:tcW w:w="16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44.35%</w:t>
            </w:r>
          </w:p>
        </w:tc>
        <w:tc>
          <w:tcPr>
            <w:tcW w:w="14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703,544</w:t>
            </w:r>
          </w:p>
        </w:tc>
        <w:tc>
          <w:tcPr>
            <w:tcW w:w="16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37.27%</w:t>
            </w:r>
          </w:p>
        </w:tc>
      </w:tr>
      <w:tr>
        <w:trPr>
          <w:trHeight w:val="95"/>
        </w:trPr>
        <w:tc>
          <w:tcPr>
            <w:tcW w:w="5420" w:type="dxa"/>
            <w:vAlign w:val="bottom"/>
          </w:tcPr>
          <w:p>
            <w:pPr>
              <w:spacing w:after="0" w:line="88" w:lineRule="exact"/>
              <w:rPr>
                <w:sz w:val="20"/>
                <w:szCs w:val="20"/>
                <w:color w:val="auto"/>
              </w:rPr>
            </w:pPr>
            <w:r>
              <w:rPr>
                <w:rFonts w:ascii="Times New Roman" w:cs="Times New Roman" w:eastAsia="Times New Roman" w:hAnsi="Times New Roman"/>
                <w:sz w:val="10"/>
                <w:szCs w:val="10"/>
                <w:color w:val="auto"/>
              </w:rPr>
              <w:t>Total</w:t>
            </w:r>
          </w:p>
        </w:tc>
        <w:tc>
          <w:tcPr>
            <w:tcW w:w="300" w:type="dxa"/>
            <w:vAlign w:val="bottom"/>
            <w:tcBorders>
              <w:bottom w:val="single" w:sz="8" w:color="auto"/>
            </w:tcBorders>
          </w:tcPr>
          <w:p>
            <w:pPr>
              <w:jc w:val="right"/>
              <w:ind w:right="192"/>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1,641,971</w:t>
            </w:r>
          </w:p>
        </w:tc>
        <w:tc>
          <w:tcPr>
            <w:tcW w:w="16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100.00%</w:t>
            </w:r>
          </w:p>
        </w:tc>
        <w:tc>
          <w:tcPr>
            <w:tcW w:w="140" w:type="dxa"/>
            <w:vAlign w:val="bottom"/>
          </w:tcPr>
          <w:p>
            <w:pPr>
              <w:spacing w:after="0"/>
              <w:rPr>
                <w:sz w:val="8"/>
                <w:szCs w:val="8"/>
                <w:color w:val="auto"/>
              </w:rPr>
            </w:pPr>
          </w:p>
        </w:tc>
        <w:tc>
          <w:tcPr>
            <w:tcW w:w="4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1,887,861</w:t>
            </w:r>
          </w:p>
        </w:tc>
        <w:tc>
          <w:tcPr>
            <w:tcW w:w="16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100.00%</w:t>
            </w:r>
          </w:p>
        </w:tc>
      </w:tr>
    </w:tbl>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i w:val="1"/>
          <w:iCs w:val="1"/>
          <w:color w:val="auto"/>
        </w:rPr>
        <w:t>Loan Quality</w:t>
      </w:r>
    </w:p>
    <w:p>
      <w:pPr>
        <w:spacing w:after="0" w:line="4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1"/>
          <w:szCs w:val="11"/>
          <w:color w:val="auto"/>
        </w:rPr>
        <w:t>At September 30, 2026, the Bank had total non-performing loans of $19.4 million, or 0.98% of total loans. Total non-accrual loans represented $19.1 million of loans as of September 30, 2026, compared to $11.1 million at December 31, 2025. The increase in non-accrual loans was related primarily to a commercial real estate participation loan that experienced payment disruption during the first quarter of 2026 due to bankruptcy at the parent company, partially offset by settlement of a previously reported participation loan for an office complex. Total accruing loans 90 days or more past due represented $282 thousand of commercial and industrial loans as of September 30, 2026, compared to $18 thousand at December 31,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i w:val="1"/>
          <w:iCs w:val="1"/>
          <w:color w:val="auto"/>
        </w:rPr>
        <w:t>Liquidity</w:t>
      </w:r>
    </w:p>
    <w:p>
      <w:pPr>
        <w:spacing w:after="0" w:line="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1"/>
          <w:szCs w:val="11"/>
          <w:color w:val="auto"/>
        </w:rPr>
        <w:t>Management believes the Bank has the necessary liquidity to meet normal business needs. The Bank uses a variety of resources to manage its liquidity position. These include short term investments, cash from lending and investing activities, core-deposit growth, and non-core funding sources, such as time deposits exceeding $250,000, brokered deposits, FHLBNY advances, and other borrowings. As of September 30, 2026, the Bank’s cash and due from banks totaled $244.6 million. The Bank maintains an investment portfolio of securities available for sale, comprised mainly of US Government agency and treasury securities, Small Business Administration loan pools, mortgage-backed securities, and municipal bonds. Although the portfolio generates interest income for the Bank, it also serves as an available source of liquidity and funding. As of September 30, 2026, the Bank’s investment in securities available for sale was $386.1 million, of which $44.9 million was not pledged as collateral or specifically designated to any borrowings. Additionally, as of September 30, 2026, the Bank’s overnight advance line capacity at the FHLBNY was $662.9 million, of which $66.4 million was used to collateralize municipal deposits and $10.0 million was utilized for long term advances. As of September 30, 2026, the Bank’s unused borrowing capacity at the FHLBNY was $586.5 million. The Bank also maintains additional borrowing capacity of $20 million with other correspondent banks. Additional funding is available to the Bank through the discount window at the Federal Reserve. The total amount of loans pledged to the Federal Reserve, between the Discount Window and the Borrower-In-Custody (“BIC”) program, was approximately $210.8 million at September 30, 2026. At September 30, 2026, the Bank was not utilizing any available funding from the Federal Reserve.</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Bank also considers brokered deposits an element of its overall deposit strategy. As of September 30, 2026, the Bank did not have any brokered deposit arrangements.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Non-GAAP Financial Measure Reconciliations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following table reconciles, as of the dates set forth below, stockholders’ equity (non-GAAP) to tangible equity and total assets (non-GAAP) to tangible assets and calculates our tangible book value per share.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260" w:type="dxa"/>
            <w:vAlign w:val="bottom"/>
          </w:tcPr>
          <w:p>
            <w:pPr>
              <w:spacing w:after="0"/>
              <w:rPr>
                <w:sz w:val="10"/>
                <w:szCs w:val="10"/>
                <w:color w:val="auto"/>
              </w:rPr>
            </w:pPr>
          </w:p>
        </w:tc>
        <w:tc>
          <w:tcPr>
            <w:tcW w:w="2340" w:type="dxa"/>
            <w:vAlign w:val="bottom"/>
            <w:gridSpan w:val="2"/>
          </w:tcPr>
          <w:p>
            <w:pPr>
              <w:jc w:val="right"/>
              <w:ind w:right="158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0" w:type="dxa"/>
            <w:vAlign w:val="bottom"/>
          </w:tcPr>
          <w:p>
            <w:pPr>
              <w:spacing w:after="0"/>
              <w:rPr>
                <w:sz w:val="1"/>
                <w:szCs w:val="1"/>
                <w:color w:val="auto"/>
              </w:rPr>
            </w:pPr>
          </w:p>
        </w:tc>
      </w:tr>
      <w:tr>
        <w:trPr>
          <w:trHeight w:val="115"/>
        </w:trPr>
        <w:tc>
          <w:tcPr>
            <w:tcW w:w="7060" w:type="dxa"/>
            <w:vAlign w:val="bottom"/>
          </w:tcPr>
          <w:p>
            <w:pPr>
              <w:spacing w:after="0"/>
              <w:rPr>
                <w:sz w:val="10"/>
                <w:szCs w:val="10"/>
                <w:color w:val="auto"/>
              </w:rPr>
            </w:pPr>
          </w:p>
        </w:tc>
        <w:tc>
          <w:tcPr>
            <w:tcW w:w="260" w:type="dxa"/>
            <w:vAlign w:val="bottom"/>
            <w:tcBorders>
              <w:top w:val="single" w:sz="8" w:color="auto"/>
              <w:bottom w:val="single" w:sz="8" w:color="auto"/>
            </w:tcBorders>
          </w:tcPr>
          <w:p>
            <w:pPr>
              <w:spacing w:after="0"/>
              <w:rPr>
                <w:sz w:val="10"/>
                <w:szCs w:val="10"/>
                <w:color w:val="auto"/>
              </w:rPr>
            </w:pPr>
          </w:p>
        </w:tc>
        <w:tc>
          <w:tcPr>
            <w:tcW w:w="1220" w:type="dxa"/>
            <w:vAlign w:val="bottom"/>
            <w:tcBorders>
              <w:top w:val="single" w:sz="8" w:color="auto"/>
              <w:bottom w:val="single" w:sz="8" w:color="auto"/>
            </w:tcBorders>
          </w:tcPr>
          <w:p>
            <w:pPr>
              <w:jc w:val="right"/>
              <w:ind w:right="592"/>
              <w:spacing w:after="0"/>
              <w:rPr>
                <w:sz w:val="20"/>
                <w:szCs w:val="20"/>
                <w:color w:val="auto"/>
              </w:rPr>
            </w:pPr>
            <w:r>
              <w:rPr>
                <w:rFonts w:ascii="Times New Roman" w:cs="Times New Roman" w:eastAsia="Times New Roman" w:hAnsi="Times New Roman"/>
                <w:sz w:val="10"/>
                <w:szCs w:val="10"/>
                <w:b w:val="1"/>
                <w:bCs w:val="1"/>
                <w:color w:val="auto"/>
              </w:rPr>
              <w:t>2026</w:t>
            </w:r>
          </w:p>
        </w:tc>
        <w:tc>
          <w:tcPr>
            <w:tcW w:w="160" w:type="dxa"/>
            <w:vAlign w:val="bottom"/>
            <w:tcBorders>
              <w:bottom w:val="single" w:sz="8" w:color="auto"/>
            </w:tcBorders>
          </w:tcPr>
          <w:p>
            <w:pPr>
              <w:spacing w:after="0"/>
              <w:rPr>
                <w:sz w:val="10"/>
                <w:szCs w:val="10"/>
                <w:color w:val="auto"/>
              </w:rPr>
            </w:pPr>
          </w:p>
        </w:tc>
        <w:tc>
          <w:tcPr>
            <w:tcW w:w="260" w:type="dxa"/>
            <w:vAlign w:val="bottom"/>
            <w:tcBorders>
              <w:top w:val="single" w:sz="8" w:color="auto"/>
              <w:bottom w:val="single" w:sz="8" w:color="auto"/>
            </w:tcBorders>
          </w:tcPr>
          <w:p>
            <w:pPr>
              <w:spacing w:after="0"/>
              <w:rPr>
                <w:sz w:val="10"/>
                <w:szCs w:val="10"/>
                <w:color w:val="auto"/>
              </w:rPr>
            </w:pPr>
          </w:p>
        </w:tc>
        <w:tc>
          <w:tcPr>
            <w:tcW w:w="1200" w:type="dxa"/>
            <w:vAlign w:val="bottom"/>
            <w:tcBorders>
              <w:top w:val="single" w:sz="8" w:color="auto"/>
              <w:bottom w:val="single" w:sz="8" w:color="auto"/>
            </w:tcBorders>
          </w:tcPr>
          <w:p>
            <w:pPr>
              <w:jc w:val="right"/>
              <w:ind w:right="592"/>
              <w:spacing w:after="0"/>
              <w:rPr>
                <w:sz w:val="20"/>
                <w:szCs w:val="20"/>
                <w:color w:val="auto"/>
              </w:rPr>
            </w:pPr>
            <w:r>
              <w:rPr>
                <w:rFonts w:ascii="Times New Roman" w:cs="Times New Roman" w:eastAsia="Times New Roman" w:hAnsi="Times New Roman"/>
                <w:sz w:val="10"/>
                <w:szCs w:val="10"/>
                <w:b w:val="1"/>
                <w:bCs w:val="1"/>
                <w:color w:val="auto"/>
              </w:rPr>
              <w:t>2025</w:t>
            </w: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7060" w:type="dxa"/>
            <w:vAlign w:val="bottom"/>
            <w:vMerge w:val="restart"/>
          </w:tcPr>
          <w:p>
            <w:pPr>
              <w:ind w:left="1120"/>
              <w:spacing w:after="0"/>
              <w:rPr>
                <w:sz w:val="20"/>
                <w:szCs w:val="20"/>
                <w:color w:val="auto"/>
              </w:rPr>
            </w:pPr>
            <w:r>
              <w:rPr>
                <w:rFonts w:ascii="Times New Roman" w:cs="Times New Roman" w:eastAsia="Times New Roman" w:hAnsi="Times New Roman"/>
                <w:sz w:val="10"/>
                <w:szCs w:val="10"/>
                <w:b w:val="1"/>
                <w:bCs w:val="1"/>
                <w:color w:val="auto"/>
              </w:rPr>
              <w:t>Tangible Common Equity:</w:t>
            </w:r>
          </w:p>
        </w:tc>
        <w:tc>
          <w:tcPr>
            <w:tcW w:w="260" w:type="dxa"/>
            <w:vAlign w:val="bottom"/>
          </w:tcPr>
          <w:p>
            <w:pPr>
              <w:spacing w:after="0"/>
              <w:rPr>
                <w:sz w:val="9"/>
                <w:szCs w:val="9"/>
                <w:color w:val="auto"/>
              </w:rPr>
            </w:pPr>
          </w:p>
        </w:tc>
        <w:tc>
          <w:tcPr>
            <w:tcW w:w="2840" w:type="dxa"/>
            <w:vAlign w:val="bottom"/>
            <w:gridSpan w:val="4"/>
          </w:tcPr>
          <w:p>
            <w:pPr>
              <w:jc w:val="right"/>
              <w:ind w:right="652"/>
              <w:spacing w:after="0" w:line="113" w:lineRule="exact"/>
              <w:rPr>
                <w:sz w:val="20"/>
                <w:szCs w:val="20"/>
                <w:color w:val="auto"/>
              </w:rPr>
            </w:pPr>
            <w:r>
              <w:rPr>
                <w:rFonts w:ascii="Times New Roman" w:cs="Times New Roman" w:eastAsia="Times New Roman" w:hAnsi="Times New Roman"/>
                <w:sz w:val="10"/>
                <w:szCs w:val="10"/>
                <w:color w:val="auto"/>
              </w:rPr>
              <w:t>(Dollars in thousands except per share data)</w:t>
            </w: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70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7060" w:type="dxa"/>
            <w:vAlign w:val="bottom"/>
          </w:tcPr>
          <w:p>
            <w:pPr>
              <w:ind w:left="1120"/>
              <w:spacing w:after="0" w:line="97" w:lineRule="exact"/>
              <w:rPr>
                <w:sz w:val="20"/>
                <w:szCs w:val="20"/>
                <w:color w:val="auto"/>
              </w:rPr>
            </w:pPr>
            <w:r>
              <w:rPr>
                <w:rFonts w:ascii="Times New Roman" w:cs="Times New Roman" w:eastAsia="Times New Roman" w:hAnsi="Times New Roman"/>
                <w:sz w:val="10"/>
                <w:szCs w:val="10"/>
                <w:color w:val="auto"/>
              </w:rPr>
              <w:t>Total stockholders’ equity</w:t>
            </w:r>
          </w:p>
        </w:tc>
        <w:tc>
          <w:tcPr>
            <w:tcW w:w="260" w:type="dxa"/>
            <w:vAlign w:val="bottom"/>
          </w:tcPr>
          <w:p>
            <w:pPr>
              <w:jc w:val="right"/>
              <w:ind w:right="153"/>
              <w:spacing w:after="0" w:line="97" w:lineRule="exact"/>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tcPr>
          <w:p>
            <w:pPr>
              <w:jc w:val="right"/>
              <w:spacing w:after="0" w:line="97" w:lineRule="exact"/>
              <w:rPr>
                <w:sz w:val="20"/>
                <w:szCs w:val="20"/>
                <w:color w:val="auto"/>
              </w:rPr>
            </w:pPr>
            <w:r>
              <w:rPr>
                <w:rFonts w:ascii="Times New Roman" w:cs="Times New Roman" w:eastAsia="Times New Roman" w:hAnsi="Times New Roman"/>
                <w:sz w:val="10"/>
                <w:szCs w:val="10"/>
                <w:color w:val="auto"/>
              </w:rPr>
              <w:t>308,996</w:t>
            </w:r>
          </w:p>
        </w:tc>
        <w:tc>
          <w:tcPr>
            <w:tcW w:w="160" w:type="dxa"/>
            <w:vAlign w:val="bottom"/>
          </w:tcPr>
          <w:p>
            <w:pPr>
              <w:spacing w:after="0"/>
              <w:rPr>
                <w:sz w:val="8"/>
                <w:szCs w:val="8"/>
                <w:color w:val="auto"/>
              </w:rPr>
            </w:pPr>
          </w:p>
        </w:tc>
        <w:tc>
          <w:tcPr>
            <w:tcW w:w="260" w:type="dxa"/>
            <w:vAlign w:val="bottom"/>
          </w:tcPr>
          <w:p>
            <w:pPr>
              <w:jc w:val="right"/>
              <w:ind w:right="153"/>
              <w:spacing w:after="0" w:line="97" w:lineRule="exact"/>
              <w:rPr>
                <w:sz w:val="20"/>
                <w:szCs w:val="20"/>
                <w:color w:val="auto"/>
              </w:rPr>
            </w:pPr>
            <w:r>
              <w:rPr>
                <w:rFonts w:ascii="Times New Roman" w:cs="Times New Roman" w:eastAsia="Times New Roman" w:hAnsi="Times New Roman"/>
                <w:sz w:val="10"/>
                <w:szCs w:val="10"/>
                <w:color w:val="auto"/>
                <w:w w:val="79"/>
              </w:rPr>
              <w:t>$</w:t>
            </w:r>
          </w:p>
        </w:tc>
        <w:tc>
          <w:tcPr>
            <w:tcW w:w="1200" w:type="dxa"/>
            <w:vAlign w:val="bottom"/>
          </w:tcPr>
          <w:p>
            <w:pPr>
              <w:jc w:val="right"/>
              <w:spacing w:after="0" w:line="97" w:lineRule="exact"/>
              <w:rPr>
                <w:sz w:val="20"/>
                <w:szCs w:val="20"/>
                <w:color w:val="auto"/>
              </w:rPr>
            </w:pPr>
            <w:r>
              <w:rPr>
                <w:rFonts w:ascii="Times New Roman" w:cs="Times New Roman" w:eastAsia="Times New Roman" w:hAnsi="Times New Roman"/>
                <w:sz w:val="10"/>
                <w:szCs w:val="10"/>
                <w:color w:val="auto"/>
              </w:rPr>
              <w:t>284,364</w:t>
            </w: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7060" w:type="dxa"/>
            <w:vAlign w:val="bottom"/>
          </w:tcPr>
          <w:p>
            <w:pPr>
              <w:ind w:left="1120"/>
              <w:spacing w:after="0" w:line="101" w:lineRule="exact"/>
              <w:rPr>
                <w:sz w:val="20"/>
                <w:szCs w:val="20"/>
                <w:color w:val="auto"/>
              </w:rPr>
            </w:pPr>
            <w:r>
              <w:rPr>
                <w:rFonts w:ascii="Times New Roman" w:cs="Times New Roman" w:eastAsia="Times New Roman" w:hAnsi="Times New Roman"/>
                <w:sz w:val="10"/>
                <w:szCs w:val="10"/>
                <w:i w:val="1"/>
                <w:iCs w:val="1"/>
                <w:color w:val="auto"/>
              </w:rPr>
              <w:t>Adjustments:</w:t>
            </w:r>
          </w:p>
        </w:tc>
        <w:tc>
          <w:tcPr>
            <w:tcW w:w="2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7060" w:type="dxa"/>
            <w:vAlign w:val="bottom"/>
          </w:tcPr>
          <w:p>
            <w:pPr>
              <w:ind w:left="1120"/>
              <w:spacing w:after="0" w:line="99" w:lineRule="exact"/>
              <w:rPr>
                <w:sz w:val="20"/>
                <w:szCs w:val="20"/>
                <w:color w:val="auto"/>
              </w:rPr>
            </w:pPr>
            <w:r>
              <w:rPr>
                <w:rFonts w:ascii="Times New Roman" w:cs="Times New Roman" w:eastAsia="Times New Roman" w:hAnsi="Times New Roman"/>
                <w:sz w:val="10"/>
                <w:szCs w:val="10"/>
                <w:color w:val="auto"/>
              </w:rPr>
              <w:t>Goodwill</w:t>
            </w:r>
          </w:p>
        </w:tc>
        <w:tc>
          <w:tcPr>
            <w:tcW w:w="260" w:type="dxa"/>
            <w:vAlign w:val="bottom"/>
          </w:tcPr>
          <w:p>
            <w:pPr>
              <w:spacing w:after="0"/>
              <w:rPr>
                <w:sz w:val="8"/>
                <w:szCs w:val="8"/>
                <w:color w:val="auto"/>
              </w:rPr>
            </w:pPr>
          </w:p>
        </w:tc>
        <w:tc>
          <w:tcPr>
            <w:tcW w:w="1380" w:type="dxa"/>
            <w:vAlign w:val="bottom"/>
            <w:gridSpan w:val="2"/>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(5,359)</w:t>
            </w:r>
          </w:p>
        </w:tc>
        <w:tc>
          <w:tcPr>
            <w:tcW w:w="260" w:type="dxa"/>
            <w:vAlign w:val="bottom"/>
          </w:tcPr>
          <w:p>
            <w:pPr>
              <w:spacing w:after="0"/>
              <w:rPr>
                <w:sz w:val="8"/>
                <w:szCs w:val="8"/>
                <w:color w:val="auto"/>
              </w:rPr>
            </w:pPr>
          </w:p>
        </w:tc>
        <w:tc>
          <w:tcPr>
            <w:tcW w:w="2340" w:type="dxa"/>
            <w:vAlign w:val="bottom"/>
            <w:gridSpan w:val="2"/>
          </w:tcPr>
          <w:p>
            <w:pPr>
              <w:jc w:val="right"/>
              <w:ind w:right="1140"/>
              <w:spacing w:after="0" w:line="99" w:lineRule="exact"/>
              <w:rPr>
                <w:sz w:val="20"/>
                <w:szCs w:val="20"/>
                <w:color w:val="auto"/>
              </w:rPr>
            </w:pPr>
            <w:r>
              <w:rPr>
                <w:rFonts w:ascii="Times New Roman" w:cs="Times New Roman" w:eastAsia="Times New Roman" w:hAnsi="Times New Roman"/>
                <w:sz w:val="10"/>
                <w:szCs w:val="10"/>
                <w:color w:val="auto"/>
              </w:rPr>
              <w:t>(5,359)</w:t>
            </w:r>
          </w:p>
        </w:tc>
        <w:tc>
          <w:tcPr>
            <w:tcW w:w="0" w:type="dxa"/>
            <w:vAlign w:val="bottom"/>
          </w:tcPr>
          <w:p>
            <w:pPr>
              <w:spacing w:after="0"/>
              <w:rPr>
                <w:sz w:val="1"/>
                <w:szCs w:val="1"/>
                <w:color w:val="auto"/>
              </w:rPr>
            </w:pPr>
          </w:p>
        </w:tc>
      </w:tr>
      <w:tr>
        <w:trPr>
          <w:trHeight w:val="113"/>
        </w:trPr>
        <w:tc>
          <w:tcPr>
            <w:tcW w:w="7060" w:type="dxa"/>
            <w:vAlign w:val="bottom"/>
          </w:tcPr>
          <w:p>
            <w:pPr>
              <w:ind w:left="1120"/>
              <w:spacing w:after="0" w:line="114" w:lineRule="exact"/>
              <w:rPr>
                <w:sz w:val="20"/>
                <w:szCs w:val="20"/>
                <w:color w:val="auto"/>
              </w:rPr>
            </w:pPr>
            <w:r>
              <w:rPr>
                <w:rFonts w:ascii="Times New Roman" w:cs="Times New Roman" w:eastAsia="Times New Roman" w:hAnsi="Times New Roman"/>
                <w:sz w:val="10"/>
                <w:szCs w:val="10"/>
                <w:color w:val="auto"/>
              </w:rPr>
              <w:t>Other intangible assets</w:t>
            </w:r>
          </w:p>
        </w:tc>
        <w:tc>
          <w:tcPr>
            <w:tcW w:w="260" w:type="dxa"/>
            <w:vAlign w:val="bottom"/>
          </w:tcPr>
          <w:p>
            <w:pPr>
              <w:spacing w:after="0"/>
              <w:rPr>
                <w:sz w:val="9"/>
                <w:szCs w:val="9"/>
                <w:color w:val="auto"/>
              </w:rPr>
            </w:pPr>
          </w:p>
        </w:tc>
        <w:tc>
          <w:tcPr>
            <w:tcW w:w="138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(321)</w:t>
            </w:r>
          </w:p>
        </w:tc>
        <w:tc>
          <w:tcPr>
            <w:tcW w:w="260" w:type="dxa"/>
            <w:vAlign w:val="bottom"/>
          </w:tcPr>
          <w:p>
            <w:pPr>
              <w:spacing w:after="0"/>
              <w:rPr>
                <w:sz w:val="9"/>
                <w:szCs w:val="9"/>
                <w:color w:val="auto"/>
              </w:rPr>
            </w:pPr>
          </w:p>
        </w:tc>
        <w:tc>
          <w:tcPr>
            <w:tcW w:w="120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(535)</w:t>
            </w: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7060" w:type="dxa"/>
            <w:vAlign w:val="bottom"/>
          </w:tcPr>
          <w:p>
            <w:pPr>
              <w:ind w:left="1120"/>
              <w:spacing w:after="0" w:line="106" w:lineRule="exact"/>
              <w:rPr>
                <w:sz w:val="20"/>
                <w:szCs w:val="20"/>
                <w:color w:val="auto"/>
              </w:rPr>
            </w:pPr>
            <w:r>
              <w:rPr>
                <w:rFonts w:ascii="Times New Roman" w:cs="Times New Roman" w:eastAsia="Times New Roman" w:hAnsi="Times New Roman"/>
                <w:sz w:val="10"/>
                <w:szCs w:val="10"/>
                <w:b w:val="1"/>
                <w:bCs w:val="1"/>
                <w:color w:val="auto"/>
              </w:rPr>
              <w:t>Tangible common equity</w:t>
            </w:r>
          </w:p>
        </w:tc>
        <w:tc>
          <w:tcPr>
            <w:tcW w:w="260" w:type="dxa"/>
            <w:vAlign w:val="bottom"/>
            <w:tcBorders>
              <w:top w:val="single" w:sz="8" w:color="auto"/>
            </w:tcBorders>
          </w:tcPr>
          <w:p>
            <w:pPr>
              <w:jc w:val="right"/>
              <w:ind w:right="153"/>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tcBorders>
              <w:top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303,316</w:t>
            </w:r>
          </w:p>
        </w:tc>
        <w:tc>
          <w:tcPr>
            <w:tcW w:w="160" w:type="dxa"/>
            <w:vAlign w:val="bottom"/>
          </w:tcPr>
          <w:p>
            <w:pPr>
              <w:spacing w:after="0"/>
              <w:rPr>
                <w:sz w:val="9"/>
                <w:szCs w:val="9"/>
                <w:color w:val="auto"/>
              </w:rPr>
            </w:pPr>
          </w:p>
        </w:tc>
        <w:tc>
          <w:tcPr>
            <w:tcW w:w="260" w:type="dxa"/>
            <w:vAlign w:val="bottom"/>
            <w:tcBorders>
              <w:top w:val="single" w:sz="8" w:color="auto"/>
            </w:tcBorders>
          </w:tcPr>
          <w:p>
            <w:pPr>
              <w:jc w:val="right"/>
              <w:ind w:right="153"/>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1200" w:type="dxa"/>
            <w:vAlign w:val="bottom"/>
            <w:tcBorders>
              <w:top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278,470</w:t>
            </w: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7060" w:type="dxa"/>
            <w:vAlign w:val="bottom"/>
          </w:tcPr>
          <w:p>
            <w:pPr>
              <w:ind w:left="1120"/>
              <w:spacing w:after="0"/>
              <w:rPr>
                <w:sz w:val="20"/>
                <w:szCs w:val="20"/>
                <w:color w:val="auto"/>
              </w:rPr>
            </w:pPr>
            <w:r>
              <w:rPr>
                <w:rFonts w:ascii="Times New Roman" w:cs="Times New Roman" w:eastAsia="Times New Roman" w:hAnsi="Times New Roman"/>
                <w:sz w:val="10"/>
                <w:szCs w:val="10"/>
                <w:color w:val="auto"/>
              </w:rPr>
              <w:t>Common shares outstanding</w:t>
            </w:r>
          </w:p>
        </w:tc>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13,411,153</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13,368,447</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7060" w:type="dxa"/>
            <w:vAlign w:val="bottom"/>
          </w:tcPr>
          <w:p>
            <w:pPr>
              <w:ind w:left="1120"/>
              <w:spacing w:after="0" w:line="97" w:lineRule="exact"/>
              <w:rPr>
                <w:sz w:val="20"/>
                <w:szCs w:val="20"/>
                <w:color w:val="auto"/>
              </w:rPr>
            </w:pPr>
            <w:r>
              <w:rPr>
                <w:rFonts w:ascii="Times New Roman" w:cs="Times New Roman" w:eastAsia="Times New Roman" w:hAnsi="Times New Roman"/>
                <w:sz w:val="10"/>
                <w:szCs w:val="10"/>
                <w:color w:val="auto"/>
              </w:rPr>
              <w:t>Book value per common share</w:t>
            </w:r>
          </w:p>
        </w:tc>
        <w:tc>
          <w:tcPr>
            <w:tcW w:w="260" w:type="dxa"/>
            <w:vAlign w:val="bottom"/>
          </w:tcPr>
          <w:p>
            <w:pPr>
              <w:jc w:val="right"/>
              <w:ind w:right="153"/>
              <w:spacing w:after="0" w:line="97" w:lineRule="exact"/>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tcPr>
          <w:p>
            <w:pPr>
              <w:jc w:val="right"/>
              <w:spacing w:after="0" w:line="97" w:lineRule="exact"/>
              <w:rPr>
                <w:sz w:val="20"/>
                <w:szCs w:val="20"/>
                <w:color w:val="auto"/>
              </w:rPr>
            </w:pPr>
            <w:r>
              <w:rPr>
                <w:rFonts w:ascii="Times New Roman" w:cs="Times New Roman" w:eastAsia="Times New Roman" w:hAnsi="Times New Roman"/>
                <w:sz w:val="10"/>
                <w:szCs w:val="10"/>
                <w:color w:val="auto"/>
              </w:rPr>
              <w:t>23.04</w:t>
            </w:r>
          </w:p>
        </w:tc>
        <w:tc>
          <w:tcPr>
            <w:tcW w:w="160" w:type="dxa"/>
            <w:vAlign w:val="bottom"/>
          </w:tcPr>
          <w:p>
            <w:pPr>
              <w:spacing w:after="0"/>
              <w:rPr>
                <w:sz w:val="8"/>
                <w:szCs w:val="8"/>
                <w:color w:val="auto"/>
              </w:rPr>
            </w:pPr>
          </w:p>
        </w:tc>
        <w:tc>
          <w:tcPr>
            <w:tcW w:w="260" w:type="dxa"/>
            <w:vAlign w:val="bottom"/>
          </w:tcPr>
          <w:p>
            <w:pPr>
              <w:jc w:val="right"/>
              <w:ind w:right="153"/>
              <w:spacing w:after="0" w:line="97" w:lineRule="exact"/>
              <w:rPr>
                <w:sz w:val="20"/>
                <w:szCs w:val="20"/>
                <w:color w:val="auto"/>
              </w:rPr>
            </w:pPr>
            <w:r>
              <w:rPr>
                <w:rFonts w:ascii="Times New Roman" w:cs="Times New Roman" w:eastAsia="Times New Roman" w:hAnsi="Times New Roman"/>
                <w:sz w:val="10"/>
                <w:szCs w:val="10"/>
                <w:color w:val="auto"/>
                <w:w w:val="79"/>
              </w:rPr>
              <w:t>$</w:t>
            </w:r>
          </w:p>
        </w:tc>
        <w:tc>
          <w:tcPr>
            <w:tcW w:w="1200" w:type="dxa"/>
            <w:vAlign w:val="bottom"/>
          </w:tcPr>
          <w:p>
            <w:pPr>
              <w:jc w:val="right"/>
              <w:spacing w:after="0" w:line="97" w:lineRule="exact"/>
              <w:rPr>
                <w:sz w:val="20"/>
                <w:szCs w:val="20"/>
                <w:color w:val="auto"/>
              </w:rPr>
            </w:pPr>
            <w:r>
              <w:rPr>
                <w:rFonts w:ascii="Times New Roman" w:cs="Times New Roman" w:eastAsia="Times New Roman" w:hAnsi="Times New Roman"/>
                <w:sz w:val="10"/>
                <w:szCs w:val="10"/>
                <w:color w:val="auto"/>
              </w:rPr>
              <w:t>21.27</w:t>
            </w: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7060" w:type="dxa"/>
            <w:vAlign w:val="bottom"/>
          </w:tcPr>
          <w:p>
            <w:pPr>
              <w:ind w:left="1120"/>
              <w:spacing w:after="0"/>
              <w:rPr>
                <w:sz w:val="20"/>
                <w:szCs w:val="20"/>
                <w:color w:val="auto"/>
              </w:rPr>
            </w:pPr>
            <w:r>
              <w:rPr>
                <w:rFonts w:ascii="Times New Roman" w:cs="Times New Roman" w:eastAsia="Times New Roman" w:hAnsi="Times New Roman"/>
                <w:sz w:val="10"/>
                <w:szCs w:val="10"/>
                <w:b w:val="1"/>
                <w:bCs w:val="1"/>
                <w:color w:val="auto"/>
              </w:rPr>
              <w:t>Tangible book value per common share</w:t>
            </w:r>
          </w:p>
        </w:tc>
        <w:tc>
          <w:tcPr>
            <w:tcW w:w="260" w:type="dxa"/>
            <w:vAlign w:val="bottom"/>
          </w:tcPr>
          <w:p>
            <w:pPr>
              <w:jc w:val="right"/>
              <w:ind w:right="153"/>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22.62</w:t>
            </w:r>
          </w:p>
        </w:tc>
        <w:tc>
          <w:tcPr>
            <w:tcW w:w="160" w:type="dxa"/>
            <w:vAlign w:val="bottom"/>
          </w:tcPr>
          <w:p>
            <w:pPr>
              <w:spacing w:after="0"/>
              <w:rPr>
                <w:sz w:val="10"/>
                <w:szCs w:val="10"/>
                <w:color w:val="auto"/>
              </w:rPr>
            </w:pPr>
          </w:p>
        </w:tc>
        <w:tc>
          <w:tcPr>
            <w:tcW w:w="260" w:type="dxa"/>
            <w:vAlign w:val="bottom"/>
          </w:tcPr>
          <w:p>
            <w:pPr>
              <w:jc w:val="right"/>
              <w:ind w:right="153"/>
              <w:spacing w:after="0"/>
              <w:rPr>
                <w:sz w:val="20"/>
                <w:szCs w:val="20"/>
                <w:color w:val="auto"/>
              </w:rPr>
            </w:pPr>
            <w:r>
              <w:rPr>
                <w:rFonts w:ascii="Times New Roman" w:cs="Times New Roman" w:eastAsia="Times New Roman" w:hAnsi="Times New Roman"/>
                <w:sz w:val="10"/>
                <w:szCs w:val="10"/>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20.83</w:t>
            </w: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7060" w:type="dxa"/>
            <w:vAlign w:val="bottom"/>
          </w:tcPr>
          <w:p>
            <w:pPr>
              <w:ind w:left="1120"/>
              <w:spacing w:after="0"/>
              <w:rPr>
                <w:sz w:val="20"/>
                <w:szCs w:val="20"/>
                <w:color w:val="auto"/>
              </w:rPr>
            </w:pPr>
            <w:r>
              <w:rPr>
                <w:rFonts w:ascii="Times New Roman" w:cs="Times New Roman" w:eastAsia="Times New Roman" w:hAnsi="Times New Roman"/>
                <w:sz w:val="10"/>
                <w:szCs w:val="10"/>
                <w:b w:val="1"/>
                <w:bCs w:val="1"/>
                <w:color w:val="auto"/>
              </w:rPr>
              <w:t>Tangible Assets</w:t>
            </w: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7060" w:type="dxa"/>
            <w:vAlign w:val="bottom"/>
          </w:tcPr>
          <w:p>
            <w:pPr>
              <w:ind w:left="1120"/>
              <w:spacing w:after="0" w:line="97" w:lineRule="exact"/>
              <w:rPr>
                <w:sz w:val="20"/>
                <w:szCs w:val="20"/>
                <w:color w:val="auto"/>
              </w:rPr>
            </w:pPr>
            <w:r>
              <w:rPr>
                <w:rFonts w:ascii="Times New Roman" w:cs="Times New Roman" w:eastAsia="Times New Roman" w:hAnsi="Times New Roman"/>
                <w:sz w:val="10"/>
                <w:szCs w:val="10"/>
                <w:color w:val="auto"/>
              </w:rPr>
              <w:t>Total assets</w:t>
            </w:r>
          </w:p>
        </w:tc>
        <w:tc>
          <w:tcPr>
            <w:tcW w:w="260" w:type="dxa"/>
            <w:vAlign w:val="bottom"/>
          </w:tcPr>
          <w:p>
            <w:pPr>
              <w:jc w:val="right"/>
              <w:ind w:right="153"/>
              <w:spacing w:after="0" w:line="97" w:lineRule="exact"/>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tcPr>
          <w:p>
            <w:pPr>
              <w:jc w:val="right"/>
              <w:spacing w:after="0" w:line="97" w:lineRule="exact"/>
              <w:rPr>
                <w:sz w:val="20"/>
                <w:szCs w:val="20"/>
                <w:color w:val="auto"/>
              </w:rPr>
            </w:pPr>
            <w:r>
              <w:rPr>
                <w:rFonts w:ascii="Times New Roman" w:cs="Times New Roman" w:eastAsia="Times New Roman" w:hAnsi="Times New Roman"/>
                <w:sz w:val="10"/>
                <w:szCs w:val="10"/>
                <w:color w:val="auto"/>
              </w:rPr>
              <w:t>2,737,747</w:t>
            </w:r>
          </w:p>
        </w:tc>
        <w:tc>
          <w:tcPr>
            <w:tcW w:w="160" w:type="dxa"/>
            <w:vAlign w:val="bottom"/>
          </w:tcPr>
          <w:p>
            <w:pPr>
              <w:spacing w:after="0"/>
              <w:rPr>
                <w:sz w:val="8"/>
                <w:szCs w:val="8"/>
                <w:color w:val="auto"/>
              </w:rPr>
            </w:pPr>
          </w:p>
        </w:tc>
        <w:tc>
          <w:tcPr>
            <w:tcW w:w="260" w:type="dxa"/>
            <w:vAlign w:val="bottom"/>
          </w:tcPr>
          <w:p>
            <w:pPr>
              <w:jc w:val="right"/>
              <w:ind w:right="153"/>
              <w:spacing w:after="0" w:line="97" w:lineRule="exact"/>
              <w:rPr>
                <w:sz w:val="20"/>
                <w:szCs w:val="20"/>
                <w:color w:val="auto"/>
              </w:rPr>
            </w:pPr>
            <w:r>
              <w:rPr>
                <w:rFonts w:ascii="Times New Roman" w:cs="Times New Roman" w:eastAsia="Times New Roman" w:hAnsi="Times New Roman"/>
                <w:sz w:val="10"/>
                <w:szCs w:val="10"/>
                <w:color w:val="auto"/>
                <w:w w:val="79"/>
              </w:rPr>
              <w:t>$</w:t>
            </w:r>
          </w:p>
        </w:tc>
        <w:tc>
          <w:tcPr>
            <w:tcW w:w="1200" w:type="dxa"/>
            <w:vAlign w:val="bottom"/>
          </w:tcPr>
          <w:p>
            <w:pPr>
              <w:jc w:val="right"/>
              <w:spacing w:after="0" w:line="97" w:lineRule="exact"/>
              <w:rPr>
                <w:sz w:val="20"/>
                <w:szCs w:val="20"/>
                <w:color w:val="auto"/>
              </w:rPr>
            </w:pPr>
            <w:r>
              <w:rPr>
                <w:rFonts w:ascii="Times New Roman" w:cs="Times New Roman" w:eastAsia="Times New Roman" w:hAnsi="Times New Roman"/>
                <w:sz w:val="10"/>
                <w:szCs w:val="10"/>
                <w:color w:val="auto"/>
              </w:rPr>
              <w:t>2,659,377</w:t>
            </w: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7060" w:type="dxa"/>
            <w:vAlign w:val="bottom"/>
          </w:tcPr>
          <w:p>
            <w:pPr>
              <w:ind w:left="1120"/>
              <w:spacing w:after="0" w:line="101" w:lineRule="exact"/>
              <w:rPr>
                <w:sz w:val="20"/>
                <w:szCs w:val="20"/>
                <w:color w:val="auto"/>
              </w:rPr>
            </w:pPr>
            <w:r>
              <w:rPr>
                <w:rFonts w:ascii="Times New Roman" w:cs="Times New Roman" w:eastAsia="Times New Roman" w:hAnsi="Times New Roman"/>
                <w:sz w:val="10"/>
                <w:szCs w:val="10"/>
                <w:i w:val="1"/>
                <w:iCs w:val="1"/>
                <w:color w:val="auto"/>
              </w:rPr>
              <w:t>Adjustments:</w:t>
            </w:r>
          </w:p>
        </w:tc>
        <w:tc>
          <w:tcPr>
            <w:tcW w:w="2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7060" w:type="dxa"/>
            <w:vAlign w:val="bottom"/>
          </w:tcPr>
          <w:p>
            <w:pPr>
              <w:ind w:left="1120"/>
              <w:spacing w:after="0" w:line="99" w:lineRule="exact"/>
              <w:rPr>
                <w:sz w:val="20"/>
                <w:szCs w:val="20"/>
                <w:color w:val="auto"/>
              </w:rPr>
            </w:pPr>
            <w:r>
              <w:rPr>
                <w:rFonts w:ascii="Times New Roman" w:cs="Times New Roman" w:eastAsia="Times New Roman" w:hAnsi="Times New Roman"/>
                <w:sz w:val="10"/>
                <w:szCs w:val="10"/>
                <w:color w:val="auto"/>
              </w:rPr>
              <w:t>Goodwill</w:t>
            </w:r>
          </w:p>
        </w:tc>
        <w:tc>
          <w:tcPr>
            <w:tcW w:w="260" w:type="dxa"/>
            <w:vAlign w:val="bottom"/>
          </w:tcPr>
          <w:p>
            <w:pPr>
              <w:spacing w:after="0"/>
              <w:rPr>
                <w:sz w:val="8"/>
                <w:szCs w:val="8"/>
                <w:color w:val="auto"/>
              </w:rPr>
            </w:pPr>
          </w:p>
        </w:tc>
        <w:tc>
          <w:tcPr>
            <w:tcW w:w="1380" w:type="dxa"/>
            <w:vAlign w:val="bottom"/>
            <w:gridSpan w:val="2"/>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(5,359)</w:t>
            </w:r>
          </w:p>
        </w:tc>
        <w:tc>
          <w:tcPr>
            <w:tcW w:w="260" w:type="dxa"/>
            <w:vAlign w:val="bottom"/>
          </w:tcPr>
          <w:p>
            <w:pPr>
              <w:spacing w:after="0"/>
              <w:rPr>
                <w:sz w:val="8"/>
                <w:szCs w:val="8"/>
                <w:color w:val="auto"/>
              </w:rPr>
            </w:pPr>
          </w:p>
        </w:tc>
        <w:tc>
          <w:tcPr>
            <w:tcW w:w="2340" w:type="dxa"/>
            <w:vAlign w:val="bottom"/>
            <w:gridSpan w:val="2"/>
          </w:tcPr>
          <w:p>
            <w:pPr>
              <w:jc w:val="right"/>
              <w:ind w:right="1140"/>
              <w:spacing w:after="0" w:line="99" w:lineRule="exact"/>
              <w:rPr>
                <w:sz w:val="20"/>
                <w:szCs w:val="20"/>
                <w:color w:val="auto"/>
              </w:rPr>
            </w:pPr>
            <w:r>
              <w:rPr>
                <w:rFonts w:ascii="Times New Roman" w:cs="Times New Roman" w:eastAsia="Times New Roman" w:hAnsi="Times New Roman"/>
                <w:sz w:val="10"/>
                <w:szCs w:val="10"/>
                <w:color w:val="auto"/>
              </w:rPr>
              <w:t>(5,359)</w:t>
            </w:r>
          </w:p>
        </w:tc>
        <w:tc>
          <w:tcPr>
            <w:tcW w:w="0" w:type="dxa"/>
            <w:vAlign w:val="bottom"/>
          </w:tcPr>
          <w:p>
            <w:pPr>
              <w:spacing w:after="0"/>
              <w:rPr>
                <w:sz w:val="1"/>
                <w:szCs w:val="1"/>
                <w:color w:val="auto"/>
              </w:rPr>
            </w:pPr>
          </w:p>
        </w:tc>
      </w:tr>
      <w:tr>
        <w:trPr>
          <w:trHeight w:val="113"/>
        </w:trPr>
        <w:tc>
          <w:tcPr>
            <w:tcW w:w="7060" w:type="dxa"/>
            <w:vAlign w:val="bottom"/>
          </w:tcPr>
          <w:p>
            <w:pPr>
              <w:ind w:left="1120"/>
              <w:spacing w:after="0" w:line="114" w:lineRule="exact"/>
              <w:rPr>
                <w:sz w:val="20"/>
                <w:szCs w:val="20"/>
                <w:color w:val="auto"/>
              </w:rPr>
            </w:pPr>
            <w:r>
              <w:rPr>
                <w:rFonts w:ascii="Times New Roman" w:cs="Times New Roman" w:eastAsia="Times New Roman" w:hAnsi="Times New Roman"/>
                <w:sz w:val="10"/>
                <w:szCs w:val="10"/>
                <w:color w:val="auto"/>
              </w:rPr>
              <w:t>Other intangible assets</w:t>
            </w:r>
          </w:p>
        </w:tc>
        <w:tc>
          <w:tcPr>
            <w:tcW w:w="260" w:type="dxa"/>
            <w:vAlign w:val="bottom"/>
          </w:tcPr>
          <w:p>
            <w:pPr>
              <w:spacing w:after="0"/>
              <w:rPr>
                <w:sz w:val="9"/>
                <w:szCs w:val="9"/>
                <w:color w:val="auto"/>
              </w:rPr>
            </w:pPr>
          </w:p>
        </w:tc>
        <w:tc>
          <w:tcPr>
            <w:tcW w:w="138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(321)</w:t>
            </w:r>
          </w:p>
        </w:tc>
        <w:tc>
          <w:tcPr>
            <w:tcW w:w="260" w:type="dxa"/>
            <w:vAlign w:val="bottom"/>
          </w:tcPr>
          <w:p>
            <w:pPr>
              <w:spacing w:after="0"/>
              <w:rPr>
                <w:sz w:val="9"/>
                <w:szCs w:val="9"/>
                <w:color w:val="auto"/>
              </w:rPr>
            </w:pPr>
          </w:p>
        </w:tc>
        <w:tc>
          <w:tcPr>
            <w:tcW w:w="120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(535)</w:t>
            </w: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7060" w:type="dxa"/>
            <w:vAlign w:val="bottom"/>
          </w:tcPr>
          <w:p>
            <w:pPr>
              <w:ind w:left="1120"/>
              <w:spacing w:after="0" w:line="72" w:lineRule="exact"/>
              <w:rPr>
                <w:sz w:val="20"/>
                <w:szCs w:val="20"/>
                <w:color w:val="auto"/>
              </w:rPr>
            </w:pPr>
            <w:r>
              <w:rPr>
                <w:rFonts w:ascii="Times New Roman" w:cs="Times New Roman" w:eastAsia="Times New Roman" w:hAnsi="Times New Roman"/>
                <w:sz w:val="8"/>
                <w:szCs w:val="8"/>
                <w:b w:val="1"/>
                <w:bCs w:val="1"/>
                <w:color w:val="auto"/>
              </w:rPr>
              <w:t>Tangible assets</w:t>
            </w:r>
          </w:p>
        </w:tc>
        <w:tc>
          <w:tcPr>
            <w:tcW w:w="260" w:type="dxa"/>
            <w:vAlign w:val="bottom"/>
            <w:tcBorders>
              <w:top w:val="single" w:sz="8" w:color="auto"/>
            </w:tcBorders>
          </w:tcPr>
          <w:p>
            <w:pPr>
              <w:jc w:val="right"/>
              <w:ind w:right="153"/>
              <w:spacing w:after="0" w:line="72" w:lineRule="exact"/>
              <w:rPr>
                <w:sz w:val="20"/>
                <w:szCs w:val="20"/>
                <w:color w:val="auto"/>
              </w:rPr>
            </w:pPr>
            <w:r>
              <w:rPr>
                <w:rFonts w:ascii="Times New Roman" w:cs="Times New Roman" w:eastAsia="Times New Roman" w:hAnsi="Times New Roman"/>
                <w:sz w:val="8"/>
                <w:szCs w:val="8"/>
                <w:color w:val="auto"/>
                <w:w w:val="98"/>
              </w:rPr>
              <w:t>$</w:t>
            </w:r>
          </w:p>
        </w:tc>
        <w:tc>
          <w:tcPr>
            <w:tcW w:w="1220" w:type="dxa"/>
            <w:vAlign w:val="bottom"/>
            <w:tcBorders>
              <w:top w:val="single" w:sz="8" w:color="auto"/>
            </w:tcBorders>
          </w:tcPr>
          <w:p>
            <w:pPr>
              <w:jc w:val="right"/>
              <w:spacing w:after="0" w:line="72" w:lineRule="exact"/>
              <w:rPr>
                <w:sz w:val="20"/>
                <w:szCs w:val="20"/>
                <w:color w:val="auto"/>
              </w:rPr>
            </w:pPr>
            <w:r>
              <w:rPr>
                <w:rFonts w:ascii="Times New Roman" w:cs="Times New Roman" w:eastAsia="Times New Roman" w:hAnsi="Times New Roman"/>
                <w:sz w:val="8"/>
                <w:szCs w:val="8"/>
                <w:color w:val="auto"/>
              </w:rPr>
              <w:t>2,732,067</w:t>
            </w:r>
          </w:p>
        </w:tc>
        <w:tc>
          <w:tcPr>
            <w:tcW w:w="160" w:type="dxa"/>
            <w:vAlign w:val="bottom"/>
          </w:tcPr>
          <w:p>
            <w:pPr>
              <w:spacing w:after="0"/>
              <w:rPr>
                <w:sz w:val="6"/>
                <w:szCs w:val="6"/>
                <w:color w:val="auto"/>
              </w:rPr>
            </w:pPr>
          </w:p>
        </w:tc>
        <w:tc>
          <w:tcPr>
            <w:tcW w:w="260" w:type="dxa"/>
            <w:vAlign w:val="bottom"/>
            <w:tcBorders>
              <w:top w:val="single" w:sz="8" w:color="auto"/>
            </w:tcBorders>
          </w:tcPr>
          <w:p>
            <w:pPr>
              <w:jc w:val="right"/>
              <w:ind w:right="153"/>
              <w:spacing w:after="0" w:line="72" w:lineRule="exact"/>
              <w:rPr>
                <w:sz w:val="20"/>
                <w:szCs w:val="20"/>
                <w:color w:val="auto"/>
              </w:rPr>
            </w:pPr>
            <w:r>
              <w:rPr>
                <w:rFonts w:ascii="Times New Roman" w:cs="Times New Roman" w:eastAsia="Times New Roman" w:hAnsi="Times New Roman"/>
                <w:sz w:val="8"/>
                <w:szCs w:val="8"/>
                <w:color w:val="auto"/>
                <w:w w:val="98"/>
              </w:rPr>
              <w:t>$</w:t>
            </w:r>
          </w:p>
        </w:tc>
        <w:tc>
          <w:tcPr>
            <w:tcW w:w="1200" w:type="dxa"/>
            <w:vAlign w:val="bottom"/>
            <w:tcBorders>
              <w:top w:val="single" w:sz="8" w:color="auto"/>
            </w:tcBorders>
          </w:tcPr>
          <w:p>
            <w:pPr>
              <w:jc w:val="right"/>
              <w:spacing w:after="0" w:line="72" w:lineRule="exact"/>
              <w:rPr>
                <w:sz w:val="20"/>
                <w:szCs w:val="20"/>
                <w:color w:val="auto"/>
              </w:rPr>
            </w:pPr>
            <w:r>
              <w:rPr>
                <w:rFonts w:ascii="Times New Roman" w:cs="Times New Roman" w:eastAsia="Times New Roman" w:hAnsi="Times New Roman"/>
                <w:sz w:val="8"/>
                <w:szCs w:val="8"/>
                <w:color w:val="auto"/>
              </w:rPr>
              <w:t>2,653,483</w:t>
            </w: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5"/>
        </w:trPr>
        <w:tc>
          <w:tcPr>
            <w:tcW w:w="7060" w:type="dxa"/>
            <w:vAlign w:val="bottom"/>
          </w:tcPr>
          <w:p>
            <w:pPr>
              <w:ind w:left="1120"/>
              <w:spacing w:after="0"/>
              <w:rPr>
                <w:sz w:val="20"/>
                <w:szCs w:val="20"/>
                <w:color w:val="auto"/>
              </w:rPr>
            </w:pPr>
            <w:r>
              <w:rPr>
                <w:rFonts w:ascii="Times New Roman" w:cs="Times New Roman" w:eastAsia="Times New Roman" w:hAnsi="Times New Roman"/>
                <w:sz w:val="10"/>
                <w:szCs w:val="10"/>
                <w:b w:val="1"/>
                <w:bCs w:val="1"/>
                <w:color w:val="auto"/>
              </w:rPr>
              <w:t>Tangible common equity to tangible assets</w:t>
            </w:r>
          </w:p>
        </w:tc>
        <w:tc>
          <w:tcPr>
            <w:tcW w:w="260" w:type="dxa"/>
            <w:vAlign w:val="bottom"/>
          </w:tcPr>
          <w:p>
            <w:pPr>
              <w:spacing w:after="0"/>
              <w:rPr>
                <w:sz w:val="10"/>
                <w:szCs w:val="1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11.10%</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10.49%</w:t>
            </w: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706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1200" w:type="dxa"/>
            <w:vAlign w:val="bottom"/>
            <w:tcBorders>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30" w:right="2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1"/>
          <w:szCs w:val="11"/>
          <w:color w:val="auto"/>
        </w:rPr>
        <w:t>The following table presents a reconciliation of efficiency ratio (non-GAAP) and adjusted efficiency ratio (non-GAAP):</w:t>
      </w:r>
    </w:p>
    <w:p>
      <w:pPr>
        <w:spacing w:after="0" w:line="217" w:lineRule="exact"/>
        <w:rPr>
          <w:sz w:val="20"/>
          <w:szCs w:val="20"/>
          <w:color w:val="auto"/>
        </w:rPr>
      </w:pPr>
    </w:p>
    <w:tbl>
      <w:tblPr>
        <w:tblLayout w:type="fixed"/>
        <w:tblInd w:w="560" w:type="dxa"/>
        <w:tblCellMar>
          <w:top w:w="0" w:type="dxa"/>
          <w:left w:w="0" w:type="dxa"/>
          <w:bottom w:w="0" w:type="dxa"/>
          <w:right w:w="0" w:type="dxa"/>
        </w:tblCellMar>
      </w:tblPr>
      <w:tr>
        <w:trPr>
          <w:trHeight w:val="115"/>
        </w:trPr>
        <w:tc>
          <w:tcPr>
            <w:tcW w:w="4480" w:type="dxa"/>
            <w:vAlign w:val="bottom"/>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gridSpan w:val="3"/>
          </w:tcPr>
          <w:p>
            <w:pPr>
              <w:jc w:val="right"/>
              <w:ind w:right="374"/>
              <w:spacing w:after="0"/>
              <w:rPr>
                <w:sz w:val="20"/>
                <w:szCs w:val="20"/>
                <w:color w:val="auto"/>
              </w:rPr>
            </w:pPr>
            <w:r>
              <w:rPr>
                <w:rFonts w:ascii="Times New Roman" w:cs="Times New Roman" w:eastAsia="Times New Roman" w:hAnsi="Times New Roman"/>
                <w:sz w:val="10"/>
                <w:szCs w:val="10"/>
                <w:b w:val="1"/>
                <w:bCs w:val="1"/>
                <w:color w:val="231F20"/>
              </w:rPr>
              <w:t>Three Months Ended</w:t>
            </w:r>
          </w:p>
        </w:tc>
        <w:tc>
          <w:tcPr>
            <w:tcW w:w="44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gridSpan w:val="3"/>
          </w:tcPr>
          <w:p>
            <w:pPr>
              <w:jc w:val="right"/>
              <w:ind w:right="15"/>
              <w:spacing w:after="0"/>
              <w:rPr>
                <w:sz w:val="20"/>
                <w:szCs w:val="20"/>
                <w:color w:val="auto"/>
              </w:rPr>
            </w:pPr>
            <w:r>
              <w:rPr>
                <w:rFonts w:ascii="Times New Roman" w:cs="Times New Roman" w:eastAsia="Times New Roman" w:hAnsi="Times New Roman"/>
                <w:sz w:val="10"/>
                <w:szCs w:val="10"/>
                <w:b w:val="1"/>
                <w:bCs w:val="1"/>
                <w:color w:val="231F20"/>
              </w:rPr>
              <w:t>Nine Months Ended</w:t>
            </w:r>
          </w:p>
        </w:tc>
        <w:tc>
          <w:tcPr>
            <w:tcW w:w="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4480" w:type="dxa"/>
            <w:vAlign w:val="bottom"/>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gridSpan w:val="3"/>
          </w:tcPr>
          <w:p>
            <w:pPr>
              <w:jc w:val="right"/>
              <w:ind w:right="594"/>
              <w:spacing w:after="0" w:line="88" w:lineRule="exact"/>
              <w:rPr>
                <w:sz w:val="20"/>
                <w:szCs w:val="20"/>
                <w:color w:val="auto"/>
              </w:rPr>
            </w:pPr>
            <w:r>
              <w:rPr>
                <w:rFonts w:ascii="Times New Roman" w:cs="Times New Roman" w:eastAsia="Times New Roman" w:hAnsi="Times New Roman"/>
                <w:sz w:val="10"/>
                <w:szCs w:val="10"/>
                <w:b w:val="1"/>
                <w:bCs w:val="1"/>
                <w:color w:val="auto"/>
              </w:rPr>
              <w:t>September 30,</w:t>
            </w:r>
          </w:p>
        </w:tc>
        <w:tc>
          <w:tcPr>
            <w:tcW w:w="44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gridSpan w:val="3"/>
          </w:tcPr>
          <w:p>
            <w:pPr>
              <w:jc w:val="right"/>
              <w:ind w:right="215"/>
              <w:spacing w:after="0" w:line="88" w:lineRule="exact"/>
              <w:rPr>
                <w:sz w:val="20"/>
                <w:szCs w:val="20"/>
                <w:color w:val="auto"/>
              </w:rPr>
            </w:pPr>
            <w:r>
              <w:rPr>
                <w:rFonts w:ascii="Times New Roman" w:cs="Times New Roman" w:eastAsia="Times New Roman" w:hAnsi="Times New Roman"/>
                <w:sz w:val="10"/>
                <w:szCs w:val="10"/>
                <w:b w:val="1"/>
                <w:bCs w:val="1"/>
                <w:color w:val="auto"/>
              </w:rPr>
              <w:t>September 30,</w:t>
            </w:r>
          </w:p>
        </w:tc>
        <w:tc>
          <w:tcPr>
            <w:tcW w:w="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480" w:type="dxa"/>
            <w:vAlign w:val="bottom"/>
          </w:tcPr>
          <w:p>
            <w:pPr>
              <w:spacing w:after="0"/>
              <w:rPr>
                <w:sz w:val="7"/>
                <w:szCs w:val="7"/>
                <w:color w:val="auto"/>
              </w:rPr>
            </w:pPr>
          </w:p>
        </w:tc>
        <w:tc>
          <w:tcPr>
            <w:tcW w:w="880" w:type="dxa"/>
            <w:vAlign w:val="bottom"/>
            <w:tcBorders>
              <w:bottom w:val="single" w:sz="8" w:color="auto"/>
            </w:tcBorders>
          </w:tcPr>
          <w:p>
            <w:pPr>
              <w:jc w:val="right"/>
              <w:ind w:right="74"/>
              <w:spacing w:after="0" w:line="88" w:lineRule="exact"/>
              <w:rPr>
                <w:sz w:val="20"/>
                <w:szCs w:val="20"/>
                <w:color w:val="auto"/>
              </w:rPr>
            </w:pPr>
            <w:r>
              <w:rPr>
                <w:rFonts w:ascii="Times New Roman" w:cs="Times New Roman" w:eastAsia="Times New Roman" w:hAnsi="Times New Roman"/>
                <w:sz w:val="10"/>
                <w:szCs w:val="10"/>
                <w:b w:val="1"/>
                <w:bCs w:val="1"/>
                <w:color w:val="auto"/>
              </w:rPr>
              <w:t>2026</w:t>
            </w:r>
          </w:p>
        </w:tc>
        <w:tc>
          <w:tcPr>
            <w:tcW w:w="4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jc w:val="right"/>
              <w:ind w:right="54"/>
              <w:spacing w:after="0" w:line="88" w:lineRule="exact"/>
              <w:rPr>
                <w:sz w:val="20"/>
                <w:szCs w:val="20"/>
                <w:color w:val="auto"/>
              </w:rPr>
            </w:pPr>
            <w:r>
              <w:rPr>
                <w:rFonts w:ascii="Times New Roman" w:cs="Times New Roman" w:eastAsia="Times New Roman" w:hAnsi="Times New Roman"/>
                <w:sz w:val="10"/>
                <w:szCs w:val="10"/>
                <w:b w:val="1"/>
                <w:bCs w:val="1"/>
                <w:color w:val="auto"/>
              </w:rPr>
              <w:t>2025</w:t>
            </w:r>
          </w:p>
        </w:tc>
        <w:tc>
          <w:tcPr>
            <w:tcW w:w="4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jc w:val="right"/>
              <w:ind w:right="74"/>
              <w:spacing w:after="0" w:line="88" w:lineRule="exact"/>
              <w:rPr>
                <w:sz w:val="20"/>
                <w:szCs w:val="20"/>
                <w:color w:val="auto"/>
              </w:rPr>
            </w:pPr>
            <w:r>
              <w:rPr>
                <w:rFonts w:ascii="Times New Roman" w:cs="Times New Roman" w:eastAsia="Times New Roman" w:hAnsi="Times New Roman"/>
                <w:sz w:val="10"/>
                <w:szCs w:val="10"/>
                <w:b w:val="1"/>
                <w:bCs w:val="1"/>
                <w:color w:val="auto"/>
              </w:rPr>
              <w:t>2026</w:t>
            </w:r>
          </w:p>
        </w:tc>
        <w:tc>
          <w:tcPr>
            <w:tcW w:w="4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jc w:val="right"/>
              <w:ind w:right="493"/>
              <w:spacing w:after="0" w:line="88" w:lineRule="exact"/>
              <w:rPr>
                <w:sz w:val="20"/>
                <w:szCs w:val="20"/>
                <w:color w:val="auto"/>
              </w:rPr>
            </w:pPr>
            <w:r>
              <w:rPr>
                <w:rFonts w:ascii="Times New Roman" w:cs="Times New Roman" w:eastAsia="Times New Roman" w:hAnsi="Times New Roman"/>
                <w:sz w:val="10"/>
                <w:szCs w:val="10"/>
                <w:b w:val="1"/>
                <w:bCs w:val="1"/>
                <w:color w:val="auto"/>
              </w:rPr>
              <w:t>2025</w:t>
            </w:r>
          </w:p>
        </w:tc>
        <w:tc>
          <w:tcPr>
            <w:tcW w:w="0" w:type="dxa"/>
            <w:vAlign w:val="bottom"/>
          </w:tcPr>
          <w:p>
            <w:pPr>
              <w:spacing w:after="0"/>
              <w:rPr>
                <w:sz w:val="1"/>
                <w:szCs w:val="1"/>
                <w:color w:val="auto"/>
              </w:rPr>
            </w:pPr>
          </w:p>
        </w:tc>
      </w:tr>
      <w:tr>
        <w:trPr>
          <w:trHeight w:val="99"/>
        </w:trPr>
        <w:tc>
          <w:tcPr>
            <w:tcW w:w="448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 xml:space="preserve">Efficiency ratio - as reported (non-GAAP) </w:t>
            </w:r>
            <w:r>
              <w:rPr>
                <w:rFonts w:ascii="Times New Roman" w:cs="Times New Roman" w:eastAsia="Times New Roman" w:hAnsi="Times New Roman"/>
                <w:sz w:val="11"/>
                <w:szCs w:val="11"/>
                <w:b w:val="1"/>
                <w:bCs w:val="1"/>
                <w:color w:val="auto"/>
                <w:vertAlign w:val="superscript"/>
              </w:rPr>
              <w:t>(1)</w:t>
            </w: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80" w:type="dxa"/>
            <w:vAlign w:val="bottom"/>
            <w:gridSpan w:val="3"/>
          </w:tcPr>
          <w:p>
            <w:pPr>
              <w:jc w:val="right"/>
              <w:ind w:right="494"/>
              <w:spacing w:after="0" w:line="99" w:lineRule="exact"/>
              <w:rPr>
                <w:sz w:val="20"/>
                <w:szCs w:val="20"/>
                <w:color w:val="auto"/>
              </w:rPr>
            </w:pPr>
            <w:r>
              <w:rPr>
                <w:rFonts w:ascii="Times New Roman" w:cs="Times New Roman" w:eastAsia="Times New Roman" w:hAnsi="Times New Roman"/>
                <w:sz w:val="10"/>
                <w:szCs w:val="10"/>
                <w:color w:val="auto"/>
              </w:rPr>
              <w:t>(Dollars in thousand)</w:t>
            </w: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4480" w:type="dxa"/>
            <w:vAlign w:val="bottom"/>
            <w:vMerge w:val="continue"/>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48.8%</w:t>
            </w:r>
          </w:p>
        </w:tc>
        <w:tc>
          <w:tcPr>
            <w:tcW w:w="160" w:type="dxa"/>
            <w:vAlign w:val="bottom"/>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49.9%</w:t>
            </w:r>
          </w:p>
        </w:tc>
        <w:tc>
          <w:tcPr>
            <w:tcW w:w="160" w:type="dxa"/>
            <w:vAlign w:val="bottom"/>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55.1%</w:t>
            </w:r>
          </w:p>
        </w:tc>
        <w:tc>
          <w:tcPr>
            <w:tcW w:w="160" w:type="dxa"/>
            <w:vAlign w:val="bottom"/>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53.2%</w:t>
            </w:r>
          </w:p>
        </w:tc>
        <w:tc>
          <w:tcPr>
            <w:tcW w:w="0" w:type="dxa"/>
            <w:vAlign w:val="bottom"/>
          </w:tcPr>
          <w:p>
            <w:pPr>
              <w:spacing w:after="0"/>
              <w:rPr>
                <w:sz w:val="1"/>
                <w:szCs w:val="1"/>
                <w:color w:val="auto"/>
              </w:rPr>
            </w:pPr>
          </w:p>
        </w:tc>
      </w:tr>
      <w:tr>
        <w:trPr>
          <w:trHeight w:val="74"/>
        </w:trPr>
        <w:tc>
          <w:tcPr>
            <w:tcW w:w="4480" w:type="dxa"/>
            <w:vAlign w:val="bottom"/>
          </w:tcPr>
          <w:p>
            <w:pPr>
              <w:spacing w:after="0" w:line="74" w:lineRule="exact"/>
              <w:rPr>
                <w:sz w:val="20"/>
                <w:szCs w:val="20"/>
                <w:color w:val="auto"/>
              </w:rPr>
            </w:pPr>
            <w:r>
              <w:rPr>
                <w:rFonts w:ascii="Times New Roman" w:cs="Times New Roman" w:eastAsia="Times New Roman" w:hAnsi="Times New Roman"/>
                <w:sz w:val="8"/>
                <w:szCs w:val="8"/>
                <w:color w:val="auto"/>
              </w:rPr>
              <w:t>Noninterest expense - as reported</w:t>
            </w:r>
          </w:p>
        </w:tc>
        <w:tc>
          <w:tcPr>
            <w:tcW w:w="880" w:type="dxa"/>
            <w:vAlign w:val="bottom"/>
          </w:tcPr>
          <w:p>
            <w:pPr>
              <w:jc w:val="right"/>
              <w:ind w:right="774"/>
              <w:spacing w:after="0" w:line="74" w:lineRule="exact"/>
              <w:rPr>
                <w:sz w:val="20"/>
                <w:szCs w:val="20"/>
                <w:color w:val="auto"/>
              </w:rPr>
            </w:pPr>
            <w:r>
              <w:rPr>
                <w:rFonts w:ascii="Times New Roman" w:cs="Times New Roman" w:eastAsia="Times New Roman" w:hAnsi="Times New Roman"/>
                <w:sz w:val="8"/>
                <w:szCs w:val="8"/>
                <w:color w:val="auto"/>
                <w:w w:val="98"/>
              </w:rPr>
              <w:t>$</w:t>
            </w:r>
          </w:p>
        </w:tc>
        <w:tc>
          <w:tcPr>
            <w:tcW w:w="420" w:type="dxa"/>
            <w:vAlign w:val="bottom"/>
          </w:tcPr>
          <w:p>
            <w:pPr>
              <w:jc w:val="right"/>
              <w:spacing w:after="0" w:line="74" w:lineRule="exact"/>
              <w:rPr>
                <w:sz w:val="20"/>
                <w:szCs w:val="20"/>
                <w:color w:val="auto"/>
              </w:rPr>
            </w:pPr>
            <w:r>
              <w:rPr>
                <w:rFonts w:ascii="Times New Roman" w:cs="Times New Roman" w:eastAsia="Times New Roman" w:hAnsi="Times New Roman"/>
                <w:sz w:val="8"/>
                <w:szCs w:val="8"/>
                <w:color w:val="auto"/>
              </w:rPr>
              <w:t>17,231</w:t>
            </w:r>
          </w:p>
        </w:tc>
        <w:tc>
          <w:tcPr>
            <w:tcW w:w="160" w:type="dxa"/>
            <w:vAlign w:val="bottom"/>
          </w:tcPr>
          <w:p>
            <w:pPr>
              <w:spacing w:after="0"/>
              <w:rPr>
                <w:sz w:val="6"/>
                <w:szCs w:val="6"/>
                <w:color w:val="auto"/>
              </w:rPr>
            </w:pPr>
          </w:p>
        </w:tc>
        <w:tc>
          <w:tcPr>
            <w:tcW w:w="860" w:type="dxa"/>
            <w:vAlign w:val="bottom"/>
          </w:tcPr>
          <w:p>
            <w:pPr>
              <w:jc w:val="right"/>
              <w:ind w:right="754"/>
              <w:spacing w:after="0" w:line="74" w:lineRule="exact"/>
              <w:rPr>
                <w:sz w:val="20"/>
                <w:szCs w:val="20"/>
                <w:color w:val="auto"/>
              </w:rPr>
            </w:pPr>
            <w:r>
              <w:rPr>
                <w:rFonts w:ascii="Times New Roman" w:cs="Times New Roman" w:eastAsia="Times New Roman" w:hAnsi="Times New Roman"/>
                <w:sz w:val="8"/>
                <w:szCs w:val="8"/>
                <w:color w:val="auto"/>
                <w:w w:val="98"/>
              </w:rPr>
              <w:t>$</w:t>
            </w:r>
          </w:p>
        </w:tc>
        <w:tc>
          <w:tcPr>
            <w:tcW w:w="440" w:type="dxa"/>
            <w:vAlign w:val="bottom"/>
          </w:tcPr>
          <w:p>
            <w:pPr>
              <w:jc w:val="right"/>
              <w:spacing w:after="0" w:line="74" w:lineRule="exact"/>
              <w:rPr>
                <w:sz w:val="20"/>
                <w:szCs w:val="20"/>
                <w:color w:val="auto"/>
              </w:rPr>
            </w:pPr>
            <w:r>
              <w:rPr>
                <w:rFonts w:ascii="Times New Roman" w:cs="Times New Roman" w:eastAsia="Times New Roman" w:hAnsi="Times New Roman"/>
                <w:sz w:val="8"/>
                <w:szCs w:val="8"/>
                <w:color w:val="auto"/>
              </w:rPr>
              <w:t>16,840</w:t>
            </w:r>
          </w:p>
        </w:tc>
        <w:tc>
          <w:tcPr>
            <w:tcW w:w="160" w:type="dxa"/>
            <w:vAlign w:val="bottom"/>
          </w:tcPr>
          <w:p>
            <w:pPr>
              <w:spacing w:after="0"/>
              <w:rPr>
                <w:sz w:val="6"/>
                <w:szCs w:val="6"/>
                <w:color w:val="auto"/>
              </w:rPr>
            </w:pPr>
          </w:p>
        </w:tc>
        <w:tc>
          <w:tcPr>
            <w:tcW w:w="880" w:type="dxa"/>
            <w:vAlign w:val="bottom"/>
          </w:tcPr>
          <w:p>
            <w:pPr>
              <w:jc w:val="right"/>
              <w:ind w:right="774"/>
              <w:spacing w:after="0" w:line="74" w:lineRule="exact"/>
              <w:rPr>
                <w:sz w:val="20"/>
                <w:szCs w:val="20"/>
                <w:color w:val="auto"/>
              </w:rPr>
            </w:pPr>
            <w:r>
              <w:rPr>
                <w:rFonts w:ascii="Times New Roman" w:cs="Times New Roman" w:eastAsia="Times New Roman" w:hAnsi="Times New Roman"/>
                <w:sz w:val="8"/>
                <w:szCs w:val="8"/>
                <w:color w:val="auto"/>
                <w:w w:val="98"/>
              </w:rPr>
              <w:t>$</w:t>
            </w:r>
          </w:p>
        </w:tc>
        <w:tc>
          <w:tcPr>
            <w:tcW w:w="420" w:type="dxa"/>
            <w:vAlign w:val="bottom"/>
          </w:tcPr>
          <w:p>
            <w:pPr>
              <w:jc w:val="right"/>
              <w:spacing w:after="0" w:line="74" w:lineRule="exact"/>
              <w:rPr>
                <w:sz w:val="20"/>
                <w:szCs w:val="20"/>
                <w:color w:val="auto"/>
              </w:rPr>
            </w:pPr>
            <w:r>
              <w:rPr>
                <w:rFonts w:ascii="Times New Roman" w:cs="Times New Roman" w:eastAsia="Times New Roman" w:hAnsi="Times New Roman"/>
                <w:sz w:val="8"/>
                <w:szCs w:val="8"/>
                <w:color w:val="auto"/>
              </w:rPr>
              <w:t>52,424</w:t>
            </w:r>
          </w:p>
        </w:tc>
        <w:tc>
          <w:tcPr>
            <w:tcW w:w="160" w:type="dxa"/>
            <w:vAlign w:val="bottom"/>
          </w:tcPr>
          <w:p>
            <w:pPr>
              <w:spacing w:after="0"/>
              <w:rPr>
                <w:sz w:val="6"/>
                <w:szCs w:val="6"/>
                <w:color w:val="auto"/>
              </w:rPr>
            </w:pPr>
          </w:p>
        </w:tc>
        <w:tc>
          <w:tcPr>
            <w:tcW w:w="480" w:type="dxa"/>
            <w:vAlign w:val="bottom"/>
          </w:tcPr>
          <w:p>
            <w:pPr>
              <w:jc w:val="right"/>
              <w:ind w:right="375"/>
              <w:spacing w:after="0" w:line="74" w:lineRule="exact"/>
              <w:rPr>
                <w:sz w:val="20"/>
                <w:szCs w:val="20"/>
                <w:color w:val="auto"/>
              </w:rPr>
            </w:pPr>
            <w:r>
              <w:rPr>
                <w:rFonts w:ascii="Times New Roman" w:cs="Times New Roman" w:eastAsia="Times New Roman" w:hAnsi="Times New Roman"/>
                <w:sz w:val="8"/>
                <w:szCs w:val="8"/>
                <w:color w:val="auto"/>
                <w:w w:val="98"/>
              </w:rPr>
              <w:t>$</w:t>
            </w:r>
          </w:p>
        </w:tc>
        <w:tc>
          <w:tcPr>
            <w:tcW w:w="820" w:type="dxa"/>
            <w:vAlign w:val="bottom"/>
          </w:tcPr>
          <w:p>
            <w:pPr>
              <w:jc w:val="right"/>
              <w:spacing w:after="0" w:line="74" w:lineRule="exact"/>
              <w:rPr>
                <w:sz w:val="20"/>
                <w:szCs w:val="20"/>
                <w:color w:val="auto"/>
              </w:rPr>
            </w:pPr>
            <w:r>
              <w:rPr>
                <w:rFonts w:ascii="Times New Roman" w:cs="Times New Roman" w:eastAsia="Times New Roman" w:hAnsi="Times New Roman"/>
                <w:sz w:val="8"/>
                <w:szCs w:val="8"/>
                <w:color w:val="auto"/>
              </w:rPr>
              <w:t>50,089</w:t>
            </w:r>
          </w:p>
        </w:tc>
        <w:tc>
          <w:tcPr>
            <w:tcW w:w="0" w:type="dxa"/>
            <w:vAlign w:val="bottom"/>
          </w:tcPr>
          <w:p>
            <w:pPr>
              <w:spacing w:after="0"/>
              <w:rPr>
                <w:sz w:val="1"/>
                <w:szCs w:val="1"/>
                <w:color w:val="auto"/>
              </w:rPr>
            </w:pPr>
          </w:p>
        </w:tc>
      </w:tr>
      <w:tr>
        <w:trPr>
          <w:trHeight w:val="99"/>
        </w:trPr>
        <w:tc>
          <w:tcPr>
            <w:tcW w:w="448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Net interest income - as reported</w:t>
            </w:r>
          </w:p>
        </w:tc>
        <w:tc>
          <w:tcPr>
            <w:tcW w:w="880" w:type="dxa"/>
            <w:vAlign w:val="bottom"/>
          </w:tcPr>
          <w:p>
            <w:pPr>
              <w:spacing w:after="0"/>
              <w:rPr>
                <w:sz w:val="8"/>
                <w:szCs w:val="8"/>
                <w:color w:val="auto"/>
              </w:rPr>
            </w:pPr>
          </w:p>
        </w:tc>
        <w:tc>
          <w:tcPr>
            <w:tcW w:w="4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29,921</w:t>
            </w: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26,947</w:t>
            </w: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86,244</w:t>
            </w: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75,715</w:t>
            </w:r>
          </w:p>
        </w:tc>
        <w:tc>
          <w:tcPr>
            <w:tcW w:w="0" w:type="dxa"/>
            <w:vAlign w:val="bottom"/>
          </w:tcPr>
          <w:p>
            <w:pPr>
              <w:spacing w:after="0"/>
              <w:rPr>
                <w:sz w:val="1"/>
                <w:szCs w:val="1"/>
                <w:color w:val="auto"/>
              </w:rPr>
            </w:pPr>
          </w:p>
        </w:tc>
      </w:tr>
      <w:tr>
        <w:trPr>
          <w:trHeight w:val="99"/>
        </w:trPr>
        <w:tc>
          <w:tcPr>
            <w:tcW w:w="448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Noninterest income - as reported</w:t>
            </w:r>
          </w:p>
        </w:tc>
        <w:tc>
          <w:tcPr>
            <w:tcW w:w="880" w:type="dxa"/>
            <w:vAlign w:val="bottom"/>
          </w:tcPr>
          <w:p>
            <w:pPr>
              <w:spacing w:after="0"/>
              <w:rPr>
                <w:sz w:val="8"/>
                <w:szCs w:val="8"/>
                <w:color w:val="auto"/>
              </w:rPr>
            </w:pPr>
          </w:p>
        </w:tc>
        <w:tc>
          <w:tcPr>
            <w:tcW w:w="4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5,374</w:t>
            </w: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6,787</w:t>
            </w: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8,944</w:t>
            </w: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18,460</w:t>
            </w:r>
          </w:p>
        </w:tc>
        <w:tc>
          <w:tcPr>
            <w:tcW w:w="0" w:type="dxa"/>
            <w:vAlign w:val="bottom"/>
          </w:tcPr>
          <w:p>
            <w:pPr>
              <w:spacing w:after="0"/>
              <w:rPr>
                <w:sz w:val="1"/>
                <w:szCs w:val="1"/>
                <w:color w:val="auto"/>
              </w:rPr>
            </w:pPr>
          </w:p>
        </w:tc>
      </w:tr>
      <w:tr>
        <w:trPr>
          <w:trHeight w:val="99"/>
        </w:trPr>
        <w:tc>
          <w:tcPr>
            <w:tcW w:w="4480" w:type="dxa"/>
            <w:vAlign w:val="bottom"/>
          </w:tcPr>
          <w:p>
            <w:pPr>
              <w:ind w:left="80"/>
              <w:spacing w:after="0" w:line="99" w:lineRule="exact"/>
              <w:rPr>
                <w:sz w:val="20"/>
                <w:szCs w:val="20"/>
                <w:color w:val="auto"/>
              </w:rPr>
            </w:pPr>
            <w:r>
              <w:rPr>
                <w:rFonts w:ascii="Times New Roman" w:cs="Times New Roman" w:eastAsia="Times New Roman" w:hAnsi="Times New Roman"/>
                <w:sz w:val="10"/>
                <w:szCs w:val="10"/>
                <w:color w:val="auto"/>
              </w:rPr>
              <w:t>Adjustments:</w:t>
            </w: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480" w:type="dxa"/>
            <w:vAlign w:val="bottom"/>
          </w:tcPr>
          <w:p>
            <w:pPr>
              <w:ind w:left="80"/>
              <w:spacing w:after="0" w:line="99" w:lineRule="exact"/>
              <w:rPr>
                <w:sz w:val="20"/>
                <w:szCs w:val="20"/>
                <w:color w:val="auto"/>
              </w:rPr>
            </w:pPr>
            <w:r>
              <w:rPr>
                <w:rFonts w:ascii="Times New Roman" w:cs="Times New Roman" w:eastAsia="Times New Roman" w:hAnsi="Times New Roman"/>
                <w:sz w:val="10"/>
                <w:szCs w:val="10"/>
                <w:color w:val="auto"/>
              </w:rPr>
              <w:t>Valuation allowance on loans held-for-sale</w:t>
            </w:r>
          </w:p>
        </w:tc>
        <w:tc>
          <w:tcPr>
            <w:tcW w:w="880" w:type="dxa"/>
            <w:vAlign w:val="bottom"/>
          </w:tcPr>
          <w:p>
            <w:pPr>
              <w:spacing w:after="0"/>
              <w:rPr>
                <w:sz w:val="8"/>
                <w:szCs w:val="8"/>
                <w:color w:val="auto"/>
              </w:rPr>
            </w:pPr>
          </w:p>
        </w:tc>
        <w:tc>
          <w:tcPr>
            <w:tcW w:w="580" w:type="dxa"/>
            <w:vAlign w:val="bottom"/>
            <w:gridSpan w:val="2"/>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(281)</w:t>
            </w:r>
          </w:p>
        </w:tc>
        <w:tc>
          <w:tcPr>
            <w:tcW w:w="860" w:type="dxa"/>
            <w:vAlign w:val="bottom"/>
          </w:tcPr>
          <w:p>
            <w:pPr>
              <w:spacing w:after="0"/>
              <w:rPr>
                <w:sz w:val="8"/>
                <w:szCs w:val="8"/>
                <w:color w:val="auto"/>
              </w:rPr>
            </w:pPr>
          </w:p>
        </w:tc>
        <w:tc>
          <w:tcPr>
            <w:tcW w:w="600" w:type="dxa"/>
            <w:vAlign w:val="bottom"/>
            <w:gridSpan w:val="2"/>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spacing w:after="0"/>
              <w:rPr>
                <w:sz w:val="8"/>
                <w:szCs w:val="8"/>
                <w:color w:val="auto"/>
              </w:rPr>
            </w:pPr>
          </w:p>
        </w:tc>
        <w:tc>
          <w:tcPr>
            <w:tcW w:w="4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4,480</w:t>
            </w: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99"/>
        </w:trPr>
        <w:tc>
          <w:tcPr>
            <w:tcW w:w="4480" w:type="dxa"/>
            <w:vAlign w:val="bottom"/>
          </w:tcPr>
          <w:p>
            <w:pPr>
              <w:ind w:left="80"/>
              <w:spacing w:after="0" w:line="99" w:lineRule="exact"/>
              <w:rPr>
                <w:sz w:val="20"/>
                <w:szCs w:val="20"/>
                <w:color w:val="auto"/>
              </w:rPr>
            </w:pPr>
            <w:r>
              <w:rPr>
                <w:rFonts w:ascii="Times New Roman" w:cs="Times New Roman" w:eastAsia="Times New Roman" w:hAnsi="Times New Roman"/>
                <w:sz w:val="10"/>
                <w:szCs w:val="10"/>
                <w:color w:val="auto"/>
              </w:rPr>
              <w:t>Net (gain) loss on sale of securities</w:t>
            </w:r>
          </w:p>
        </w:tc>
        <w:tc>
          <w:tcPr>
            <w:tcW w:w="880" w:type="dxa"/>
            <w:vAlign w:val="bottom"/>
          </w:tcPr>
          <w:p>
            <w:pPr>
              <w:spacing w:after="0"/>
              <w:rPr>
                <w:sz w:val="8"/>
                <w:szCs w:val="8"/>
                <w:color w:val="auto"/>
              </w:rPr>
            </w:pPr>
          </w:p>
        </w:tc>
        <w:tc>
          <w:tcPr>
            <w:tcW w:w="58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spacing w:after="0"/>
              <w:rPr>
                <w:sz w:val="8"/>
                <w:szCs w:val="8"/>
                <w:color w:val="auto"/>
              </w:rPr>
            </w:pPr>
          </w:p>
        </w:tc>
        <w:tc>
          <w:tcPr>
            <w:tcW w:w="600" w:type="dxa"/>
            <w:vAlign w:val="bottom"/>
            <w:gridSpan w:val="2"/>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(159)</w:t>
            </w:r>
          </w:p>
        </w:tc>
        <w:tc>
          <w:tcPr>
            <w:tcW w:w="880" w:type="dxa"/>
            <w:vAlign w:val="bottom"/>
          </w:tcPr>
          <w:p>
            <w:pPr>
              <w:spacing w:after="0"/>
              <w:rPr>
                <w:sz w:val="8"/>
                <w:szCs w:val="8"/>
                <w:color w:val="auto"/>
              </w:rPr>
            </w:pPr>
          </w:p>
        </w:tc>
        <w:tc>
          <w:tcPr>
            <w:tcW w:w="580" w:type="dxa"/>
            <w:vAlign w:val="bottom"/>
            <w:gridSpan w:val="2"/>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w:t>
            </w:r>
          </w:p>
        </w:tc>
        <w:tc>
          <w:tcPr>
            <w:tcW w:w="480" w:type="dxa"/>
            <w:vAlign w:val="bottom"/>
          </w:tcPr>
          <w:p>
            <w:pPr>
              <w:spacing w:after="0"/>
              <w:rPr>
                <w:sz w:val="8"/>
                <w:szCs w:val="8"/>
                <w:color w:val="auto"/>
              </w:rPr>
            </w:pPr>
          </w:p>
        </w:tc>
        <w:tc>
          <w:tcPr>
            <w:tcW w:w="8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568</w:t>
            </w:r>
          </w:p>
        </w:tc>
        <w:tc>
          <w:tcPr>
            <w:tcW w:w="0" w:type="dxa"/>
            <w:vAlign w:val="bottom"/>
          </w:tcPr>
          <w:p>
            <w:pPr>
              <w:spacing w:after="0"/>
              <w:rPr>
                <w:sz w:val="1"/>
                <w:szCs w:val="1"/>
                <w:color w:val="auto"/>
              </w:rPr>
            </w:pPr>
          </w:p>
        </w:tc>
      </w:tr>
      <w:tr>
        <w:trPr>
          <w:trHeight w:val="99"/>
        </w:trPr>
        <w:tc>
          <w:tcPr>
            <w:tcW w:w="4480" w:type="dxa"/>
            <w:vAlign w:val="bottom"/>
          </w:tcPr>
          <w:p>
            <w:pPr>
              <w:ind w:left="80"/>
              <w:spacing w:after="0" w:line="99" w:lineRule="exact"/>
              <w:rPr>
                <w:sz w:val="20"/>
                <w:szCs w:val="20"/>
                <w:color w:val="auto"/>
              </w:rPr>
            </w:pPr>
            <w:r>
              <w:rPr>
                <w:rFonts w:ascii="Times New Roman" w:cs="Times New Roman" w:eastAsia="Times New Roman" w:hAnsi="Times New Roman"/>
                <w:sz w:val="10"/>
                <w:szCs w:val="10"/>
                <w:color w:val="auto"/>
              </w:rPr>
              <w:t>Proceeds from bank owned life insurance benefit</w:t>
            </w:r>
          </w:p>
        </w:tc>
        <w:tc>
          <w:tcPr>
            <w:tcW w:w="880" w:type="dxa"/>
            <w:vAlign w:val="bottom"/>
          </w:tcPr>
          <w:p>
            <w:pPr>
              <w:spacing w:after="0"/>
              <w:rPr>
                <w:sz w:val="8"/>
                <w:szCs w:val="8"/>
                <w:color w:val="auto"/>
              </w:rPr>
            </w:pPr>
          </w:p>
        </w:tc>
        <w:tc>
          <w:tcPr>
            <w:tcW w:w="58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spacing w:after="0"/>
              <w:rPr>
                <w:sz w:val="8"/>
                <w:szCs w:val="8"/>
                <w:color w:val="auto"/>
              </w:rPr>
            </w:pPr>
          </w:p>
        </w:tc>
        <w:tc>
          <w:tcPr>
            <w:tcW w:w="600" w:type="dxa"/>
            <w:vAlign w:val="bottom"/>
            <w:gridSpan w:val="2"/>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(1,191)</w:t>
            </w:r>
          </w:p>
        </w:tc>
        <w:tc>
          <w:tcPr>
            <w:tcW w:w="880" w:type="dxa"/>
            <w:vAlign w:val="bottom"/>
          </w:tcPr>
          <w:p>
            <w:pPr>
              <w:spacing w:after="0"/>
              <w:rPr>
                <w:sz w:val="8"/>
                <w:szCs w:val="8"/>
                <w:color w:val="auto"/>
              </w:rPr>
            </w:pPr>
          </w:p>
        </w:tc>
        <w:tc>
          <w:tcPr>
            <w:tcW w:w="580" w:type="dxa"/>
            <w:vAlign w:val="bottom"/>
            <w:gridSpan w:val="2"/>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w:t>
            </w:r>
          </w:p>
        </w:tc>
        <w:tc>
          <w:tcPr>
            <w:tcW w:w="480" w:type="dxa"/>
            <w:vAlign w:val="bottom"/>
          </w:tcPr>
          <w:p>
            <w:pPr>
              <w:spacing w:after="0"/>
              <w:rPr>
                <w:sz w:val="8"/>
                <w:szCs w:val="8"/>
                <w:color w:val="auto"/>
              </w:rPr>
            </w:pPr>
          </w:p>
        </w:tc>
        <w:tc>
          <w:tcPr>
            <w:tcW w:w="8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(3,590)</w:t>
            </w:r>
          </w:p>
        </w:tc>
        <w:tc>
          <w:tcPr>
            <w:tcW w:w="0" w:type="dxa"/>
            <w:vAlign w:val="bottom"/>
          </w:tcPr>
          <w:p>
            <w:pPr>
              <w:spacing w:after="0"/>
              <w:rPr>
                <w:sz w:val="1"/>
                <w:szCs w:val="1"/>
                <w:color w:val="auto"/>
              </w:rPr>
            </w:pPr>
          </w:p>
        </w:tc>
      </w:tr>
      <w:tr>
        <w:trPr>
          <w:trHeight w:val="113"/>
        </w:trPr>
        <w:tc>
          <w:tcPr>
            <w:tcW w:w="4480" w:type="dxa"/>
            <w:vAlign w:val="bottom"/>
          </w:tcPr>
          <w:p>
            <w:pPr>
              <w:ind w:left="80"/>
              <w:spacing w:after="0" w:line="114" w:lineRule="exact"/>
              <w:rPr>
                <w:sz w:val="20"/>
                <w:szCs w:val="20"/>
                <w:color w:val="auto"/>
              </w:rPr>
            </w:pPr>
            <w:r>
              <w:rPr>
                <w:rFonts w:ascii="Times New Roman" w:cs="Times New Roman" w:eastAsia="Times New Roman" w:hAnsi="Times New Roman"/>
                <w:sz w:val="10"/>
                <w:szCs w:val="10"/>
                <w:color w:val="auto"/>
              </w:rPr>
              <w:t>Gain on sale of assets</w:t>
            </w:r>
          </w:p>
        </w:tc>
        <w:tc>
          <w:tcPr>
            <w:tcW w:w="880" w:type="dxa"/>
            <w:vAlign w:val="bottom"/>
          </w:tcPr>
          <w:p>
            <w:pPr>
              <w:spacing w:after="0"/>
              <w:rPr>
                <w:sz w:val="9"/>
                <w:szCs w:val="9"/>
                <w:color w:val="auto"/>
              </w:rPr>
            </w:pPr>
          </w:p>
        </w:tc>
        <w:tc>
          <w:tcPr>
            <w:tcW w:w="580" w:type="dxa"/>
            <w:vAlign w:val="bottom"/>
            <w:gridSpan w:val="2"/>
          </w:tcPr>
          <w:p>
            <w:pPr>
              <w:jc w:val="right"/>
              <w:ind w:right="180"/>
              <w:spacing w:after="0" w:line="114" w:lineRule="exact"/>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spacing w:after="0"/>
              <w:rPr>
                <w:sz w:val="9"/>
                <w:szCs w:val="9"/>
                <w:color w:val="auto"/>
              </w:rPr>
            </w:pPr>
          </w:p>
        </w:tc>
        <w:tc>
          <w:tcPr>
            <w:tcW w:w="600" w:type="dxa"/>
            <w:vAlign w:val="bottom"/>
            <w:gridSpan w:val="2"/>
          </w:tcPr>
          <w:p>
            <w:pPr>
              <w:jc w:val="right"/>
              <w:ind w:right="200"/>
              <w:spacing w:after="0" w:line="114"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spacing w:after="0"/>
              <w:rPr>
                <w:sz w:val="9"/>
                <w:szCs w:val="9"/>
                <w:color w:val="auto"/>
              </w:rPr>
            </w:pPr>
          </w:p>
        </w:tc>
        <w:tc>
          <w:tcPr>
            <w:tcW w:w="580" w:type="dxa"/>
            <w:vAlign w:val="bottom"/>
            <w:gridSpan w:val="2"/>
          </w:tcPr>
          <w:p>
            <w:pPr>
              <w:jc w:val="right"/>
              <w:ind w:right="200"/>
              <w:spacing w:after="0" w:line="114" w:lineRule="exact"/>
              <w:rPr>
                <w:sz w:val="20"/>
                <w:szCs w:val="20"/>
                <w:color w:val="auto"/>
              </w:rPr>
            </w:pPr>
            <w:r>
              <w:rPr>
                <w:rFonts w:ascii="Times New Roman" w:cs="Times New Roman" w:eastAsia="Times New Roman" w:hAnsi="Times New Roman"/>
                <w:sz w:val="10"/>
                <w:szCs w:val="10"/>
                <w:color w:val="auto"/>
              </w:rPr>
              <w:t>—</w:t>
            </w:r>
          </w:p>
        </w:tc>
        <w:tc>
          <w:tcPr>
            <w:tcW w:w="480" w:type="dxa"/>
            <w:vAlign w:val="bottom"/>
          </w:tcPr>
          <w:p>
            <w:pPr>
              <w:spacing w:after="0"/>
              <w:rPr>
                <w:sz w:val="9"/>
                <w:szCs w:val="9"/>
                <w:color w:val="auto"/>
              </w:rPr>
            </w:pPr>
          </w:p>
        </w:tc>
        <w:tc>
          <w:tcPr>
            <w:tcW w:w="82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(1,236)</w:t>
            </w:r>
          </w:p>
        </w:tc>
        <w:tc>
          <w:tcPr>
            <w:tcW w:w="0" w:type="dxa"/>
            <w:vAlign w:val="bottom"/>
          </w:tcPr>
          <w:p>
            <w:pPr>
              <w:spacing w:after="0"/>
              <w:rPr>
                <w:sz w:val="1"/>
                <w:szCs w:val="1"/>
                <w:color w:val="auto"/>
              </w:rPr>
            </w:pPr>
          </w:p>
        </w:tc>
      </w:tr>
      <w:tr>
        <w:trPr>
          <w:trHeight w:val="88"/>
        </w:trPr>
        <w:tc>
          <w:tcPr>
            <w:tcW w:w="4480" w:type="dxa"/>
            <w:vAlign w:val="bottom"/>
          </w:tcPr>
          <w:p>
            <w:pPr>
              <w:spacing w:after="0" w:line="88" w:lineRule="exact"/>
              <w:rPr>
                <w:sz w:val="20"/>
                <w:szCs w:val="20"/>
                <w:color w:val="auto"/>
              </w:rPr>
            </w:pPr>
            <w:r>
              <w:rPr>
                <w:rFonts w:ascii="Times New Roman" w:cs="Times New Roman" w:eastAsia="Times New Roman" w:hAnsi="Times New Roman"/>
                <w:sz w:val="10"/>
                <w:szCs w:val="10"/>
                <w:color w:val="auto"/>
              </w:rPr>
              <w:t>Adjusted noninterest income (non-GAAP)</w:t>
            </w:r>
          </w:p>
        </w:tc>
        <w:tc>
          <w:tcPr>
            <w:tcW w:w="880" w:type="dxa"/>
            <w:vAlign w:val="bottom"/>
            <w:tcBorders>
              <w:top w:val="single" w:sz="8" w:color="auto"/>
              <w:bottom w:val="single" w:sz="8" w:color="auto"/>
            </w:tcBorders>
          </w:tcPr>
          <w:p>
            <w:pPr>
              <w:jc w:val="right"/>
              <w:ind w:right="774"/>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5,093</w:t>
            </w:r>
          </w:p>
        </w:tc>
        <w:tc>
          <w:tcPr>
            <w:tcW w:w="160" w:type="dxa"/>
            <w:vAlign w:val="bottom"/>
          </w:tcPr>
          <w:p>
            <w:pPr>
              <w:spacing w:after="0"/>
              <w:rPr>
                <w:sz w:val="7"/>
                <w:szCs w:val="7"/>
                <w:color w:val="auto"/>
              </w:rPr>
            </w:pPr>
          </w:p>
        </w:tc>
        <w:tc>
          <w:tcPr>
            <w:tcW w:w="860" w:type="dxa"/>
            <w:vAlign w:val="bottom"/>
            <w:tcBorders>
              <w:top w:val="single" w:sz="8" w:color="auto"/>
              <w:bottom w:val="single" w:sz="8" w:color="auto"/>
            </w:tcBorders>
          </w:tcPr>
          <w:p>
            <w:pPr>
              <w:jc w:val="right"/>
              <w:ind w:right="754"/>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5,437</w:t>
            </w:r>
          </w:p>
        </w:tc>
        <w:tc>
          <w:tcPr>
            <w:tcW w:w="160" w:type="dxa"/>
            <w:vAlign w:val="bottom"/>
          </w:tcPr>
          <w:p>
            <w:pPr>
              <w:spacing w:after="0"/>
              <w:rPr>
                <w:sz w:val="7"/>
                <w:szCs w:val="7"/>
                <w:color w:val="auto"/>
              </w:rPr>
            </w:pPr>
          </w:p>
        </w:tc>
        <w:tc>
          <w:tcPr>
            <w:tcW w:w="880" w:type="dxa"/>
            <w:vAlign w:val="bottom"/>
            <w:tcBorders>
              <w:top w:val="single" w:sz="8" w:color="auto"/>
              <w:bottom w:val="single" w:sz="8" w:color="auto"/>
            </w:tcBorders>
          </w:tcPr>
          <w:p>
            <w:pPr>
              <w:jc w:val="right"/>
              <w:ind w:right="774"/>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13,424</w:t>
            </w:r>
          </w:p>
        </w:tc>
        <w:tc>
          <w:tcPr>
            <w:tcW w:w="160" w:type="dxa"/>
            <w:vAlign w:val="bottom"/>
          </w:tcPr>
          <w:p>
            <w:pPr>
              <w:spacing w:after="0"/>
              <w:rPr>
                <w:sz w:val="7"/>
                <w:szCs w:val="7"/>
                <w:color w:val="auto"/>
              </w:rPr>
            </w:pPr>
          </w:p>
        </w:tc>
        <w:tc>
          <w:tcPr>
            <w:tcW w:w="480" w:type="dxa"/>
            <w:vAlign w:val="bottom"/>
            <w:tcBorders>
              <w:top w:val="single" w:sz="8" w:color="auto"/>
              <w:bottom w:val="single" w:sz="8" w:color="auto"/>
            </w:tcBorders>
          </w:tcPr>
          <w:p>
            <w:pPr>
              <w:jc w:val="right"/>
              <w:ind w:right="375"/>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14,202</w:t>
            </w:r>
          </w:p>
        </w:tc>
        <w:tc>
          <w:tcPr>
            <w:tcW w:w="0" w:type="dxa"/>
            <w:vAlign w:val="bottom"/>
          </w:tcPr>
          <w:p>
            <w:pPr>
              <w:spacing w:after="0"/>
              <w:rPr>
                <w:sz w:val="1"/>
                <w:szCs w:val="1"/>
                <w:color w:val="auto"/>
              </w:rPr>
            </w:pPr>
          </w:p>
        </w:tc>
      </w:tr>
      <w:tr>
        <w:trPr>
          <w:trHeight w:val="106"/>
        </w:trPr>
        <w:tc>
          <w:tcPr>
            <w:tcW w:w="4480" w:type="dxa"/>
            <w:vAlign w:val="bottom"/>
          </w:tcPr>
          <w:p>
            <w:pPr>
              <w:spacing w:after="0" w:line="106" w:lineRule="exact"/>
              <w:rPr>
                <w:sz w:val="20"/>
                <w:szCs w:val="20"/>
                <w:color w:val="auto"/>
              </w:rPr>
            </w:pPr>
            <w:r>
              <w:rPr>
                <w:rFonts w:ascii="Times New Roman" w:cs="Times New Roman" w:eastAsia="Times New Roman" w:hAnsi="Times New Roman"/>
                <w:sz w:val="10"/>
                <w:szCs w:val="10"/>
                <w:b w:val="1"/>
                <w:bCs w:val="1"/>
                <w:color w:val="auto"/>
              </w:rPr>
              <w:t xml:space="preserve">Adjusted efficiency ratio (non-GAAP) </w:t>
            </w:r>
            <w:r>
              <w:rPr>
                <w:rFonts w:ascii="Times New Roman" w:cs="Times New Roman" w:eastAsia="Times New Roman" w:hAnsi="Times New Roman"/>
                <w:sz w:val="11"/>
                <w:szCs w:val="11"/>
                <w:b w:val="1"/>
                <w:bCs w:val="1"/>
                <w:color w:val="auto"/>
                <w:vertAlign w:val="superscript"/>
              </w:rPr>
              <w:t>(2)</w:t>
            </w:r>
          </w:p>
        </w:tc>
        <w:tc>
          <w:tcPr>
            <w:tcW w:w="8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0"/>
                <w:szCs w:val="10"/>
                <w:b w:val="1"/>
                <w:bCs w:val="1"/>
                <w:color w:val="auto"/>
              </w:rPr>
              <w:t>49.2%</w:t>
            </w:r>
          </w:p>
        </w:tc>
        <w:tc>
          <w:tcPr>
            <w:tcW w:w="16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0"/>
                <w:szCs w:val="10"/>
                <w:b w:val="1"/>
                <w:bCs w:val="1"/>
                <w:color w:val="auto"/>
              </w:rPr>
              <w:t>52.0%</w:t>
            </w:r>
          </w:p>
        </w:tc>
        <w:tc>
          <w:tcPr>
            <w:tcW w:w="16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0"/>
                <w:szCs w:val="10"/>
                <w:b w:val="1"/>
                <w:bCs w:val="1"/>
                <w:color w:val="auto"/>
              </w:rPr>
              <w:t>52.6%</w:t>
            </w:r>
          </w:p>
        </w:tc>
        <w:tc>
          <w:tcPr>
            <w:tcW w:w="16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0"/>
                <w:szCs w:val="10"/>
                <w:b w:val="1"/>
                <w:bCs w:val="1"/>
                <w:color w:val="auto"/>
              </w:rPr>
              <w:t>55.7%</w:t>
            </w: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0"/>
          <w:szCs w:val="10"/>
          <w:u w:val="single" w:color="auto"/>
          <w:color w:val="auto"/>
        </w:rPr>
        <w:t>Notes:</w:t>
      </w:r>
    </w:p>
    <w:p>
      <w:pPr>
        <w:spacing w:after="0" w:line="12" w:lineRule="exact"/>
        <w:rPr>
          <w:sz w:val="20"/>
          <w:szCs w:val="20"/>
          <w:color w:val="auto"/>
        </w:rPr>
      </w:pPr>
    </w:p>
    <w:p>
      <w:pPr>
        <w:ind w:left="420" w:hanging="82"/>
        <w:spacing w:after="0"/>
        <w:tabs>
          <w:tab w:leader="none" w:pos="420" w:val="left"/>
        </w:tabs>
        <w:numPr>
          <w:ilvl w:val="0"/>
          <w:numId w:val="2"/>
        </w:numPr>
        <w:rPr>
          <w:rFonts w:ascii="Times New Roman" w:cs="Times New Roman" w:eastAsia="Times New Roman" w:hAnsi="Times New Roman"/>
          <w:sz w:val="10"/>
          <w:szCs w:val="10"/>
          <w:color w:val="auto"/>
          <w:vertAlign w:val="superscript"/>
        </w:rPr>
      </w:pPr>
      <w:r>
        <w:rPr>
          <w:rFonts w:ascii="Times New Roman" w:cs="Times New Roman" w:eastAsia="Times New Roman" w:hAnsi="Times New Roman"/>
          <w:sz w:val="8"/>
          <w:szCs w:val="8"/>
          <w:color w:val="auto"/>
        </w:rPr>
        <w:t>The reported efficiency ratio is a (non-GAAP) measure calculated by dividing GAAP noninterest expense by the sum of GAAP net interest income and GAAP noninterest income.</w:t>
      </w:r>
    </w:p>
    <w:p>
      <w:pPr>
        <w:spacing w:after="0" w:line="21" w:lineRule="exact"/>
        <w:rPr>
          <w:rFonts w:ascii="Times New Roman" w:cs="Times New Roman" w:eastAsia="Times New Roman" w:hAnsi="Times New Roman"/>
          <w:sz w:val="10"/>
          <w:szCs w:val="10"/>
          <w:color w:val="auto"/>
          <w:vertAlign w:val="superscript"/>
        </w:rPr>
      </w:pPr>
    </w:p>
    <w:p>
      <w:pPr>
        <w:ind w:left="420" w:hanging="82"/>
        <w:spacing w:after="0" w:line="236" w:lineRule="auto"/>
        <w:tabs>
          <w:tab w:leader="none" w:pos="420" w:val="left"/>
        </w:tabs>
        <w:numPr>
          <w:ilvl w:val="0"/>
          <w:numId w:val="2"/>
        </w:numPr>
        <w:rPr>
          <w:rFonts w:ascii="Times New Roman" w:cs="Times New Roman" w:eastAsia="Times New Roman" w:hAnsi="Times New Roman"/>
          <w:sz w:val="10"/>
          <w:szCs w:val="10"/>
          <w:color w:val="auto"/>
          <w:vertAlign w:val="superscript"/>
        </w:rPr>
      </w:pPr>
      <w:r>
        <w:rPr>
          <w:rFonts w:ascii="Times New Roman" w:cs="Times New Roman" w:eastAsia="Times New Roman" w:hAnsi="Times New Roman"/>
          <w:sz w:val="8"/>
          <w:szCs w:val="8"/>
          <w:color w:val="auto"/>
        </w:rPr>
        <w:t>The adjusted efficiency ratio is a (non-GAAP) measure calculated by dividing adjusted noninterest expense by the sum of GAAP net interest income and adjusted noninterest income.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About Orange County Bancorp, Inc</w:t>
      </w:r>
    </w:p>
    <w:p>
      <w:pPr>
        <w:spacing w:after="0" w:line="47"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1"/>
          <w:szCs w:val="11"/>
          <w:color w:val="auto"/>
        </w:rPr>
        <w:t>Orange County Bancorp, Inc. is the parent company of Orange Bank &amp; Trust Company and Orange Investment Advisors, Inc. Orange Bank &amp; Trust Company is an independent bank that began with the vision of 14 founders over 125 years ago. It has grown through innovation and an unwavering commitment to its community and business clientele to approximately $2.7 billion in total assets. Orange Investment Advisors, Inc. is a Registered Investment Advisor in Goshen, NY. It was founded in 1996 and acquired by the Company in 2012.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Forward Looking Statements</w:t>
      </w:r>
    </w:p>
    <w:p>
      <w:pPr>
        <w:spacing w:after="0" w:line="4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1"/>
          <w:szCs w:val="11"/>
          <w:color w:val="auto"/>
        </w:rPr>
        <w:t>Certain statements contained herein are “forward looking statements” within the meaning of Section 27A of the Securities Act of 1933 and Section 21E of the Securities Exchange Act of 1934. Such forward looking statements may be identified by reference to a future period or periods, or by the use of forward looking terminology, such as “may,” “will,” “believe,” “expect,” “estimate,” “anticipate,” “continue,” or similar terms or variations on those terms, or the negative of those terms. Forward looking statements are subject to numerous risks and uncertainties, including, but not limited to, those related to the real estate and economic environment, particularly in the market areas in which the Company operates, competitive products and pricing, fiscal and monetary policies of the U.S. Government, inflation, changes in government regulations affecting financial institutions, including regulatory fees and capital requirements, changes in prevailing interest rates, increased levels of loan delinquencies, problem assets and foreclosures, credit risk management, asset-liability management, cybersecurity risks, geopolitical conflicts, public health issues, the financial and securities markets and the availability of and costs associated with sources of liquidity.</w:t>
      </w:r>
    </w:p>
    <w:p>
      <w:pPr>
        <w:spacing w:after="0" w:line="5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1"/>
          <w:szCs w:val="11"/>
          <w:color w:val="auto"/>
        </w:rPr>
        <w:t>The Company wishes to caution readers not to place undue reliance on any such forward looking statements, which speak only as of the date made. The Company wishes to advise readers that the factors listed above could affect the Company’s financial performance and could cause the Company’s actual results for future periods to differ materially from any opinions or statements expressed with respect to future periods in any current statements. The Company does not undertake and specifically declines any obligation to publicly release the results of any revisions that may be made to any forward looking statements to reflect events or circumstances after the date of such statements or to reflect the occurrence of anticipated or unanticipated events.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For further information: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Michael Lesler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EVP &amp;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0563C1"/>
        </w:rPr>
        <w:t>mlesler@orangebanktrust.com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Phone: (845) 341-5111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41275</wp:posOffset>
            </wp:positionV>
            <wp:extent cx="720344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01" w:right="29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ORANGE COUNTY BANCORP,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CONDITION</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(Dollar Amounts in thousands except per share data)</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220" w:type="dxa"/>
            <w:vAlign w:val="bottom"/>
          </w:tcPr>
          <w:p>
            <w:pPr>
              <w:spacing w:after="0"/>
              <w:rPr>
                <w:sz w:val="10"/>
                <w:szCs w:val="10"/>
                <w:color w:val="auto"/>
              </w:rPr>
            </w:pPr>
          </w:p>
        </w:tc>
        <w:tc>
          <w:tcPr>
            <w:tcW w:w="1680" w:type="dxa"/>
            <w:vAlign w:val="bottom"/>
            <w:gridSpan w:val="2"/>
          </w:tcPr>
          <w:p>
            <w:pPr>
              <w:jc w:val="right"/>
              <w:ind w:right="96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0" w:type="dxa"/>
            <w:vAlign w:val="bottom"/>
          </w:tcPr>
          <w:p>
            <w:pPr>
              <w:spacing w:after="0"/>
              <w:rPr>
                <w:sz w:val="1"/>
                <w:szCs w:val="1"/>
                <w:color w:val="auto"/>
              </w:rPr>
            </w:pPr>
          </w:p>
        </w:tc>
      </w:tr>
      <w:tr>
        <w:trPr>
          <w:trHeight w:val="88"/>
        </w:trPr>
        <w:tc>
          <w:tcPr>
            <w:tcW w:w="7920" w:type="dxa"/>
            <w:vAlign w:val="bottom"/>
            <w:vMerge w:val="restart"/>
          </w:tcPr>
          <w:p>
            <w:pPr>
              <w:ind w:left="70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200" w:type="dxa"/>
            <w:vAlign w:val="bottom"/>
            <w:tcBorders>
              <w:top w:val="single" w:sz="8" w:color="auto"/>
              <w:bottom w:val="single" w:sz="8" w:color="auto"/>
            </w:tcBorders>
          </w:tcPr>
          <w:p>
            <w:pPr>
              <w:spacing w:after="0"/>
              <w:rPr>
                <w:sz w:val="7"/>
                <w:szCs w:val="7"/>
                <w:color w:val="auto"/>
              </w:rPr>
            </w:pPr>
          </w:p>
        </w:tc>
        <w:tc>
          <w:tcPr>
            <w:tcW w:w="1140" w:type="dxa"/>
            <w:vAlign w:val="bottom"/>
            <w:tcBorders>
              <w:top w:val="single" w:sz="8" w:color="auto"/>
              <w:bottom w:val="single" w:sz="8" w:color="auto"/>
            </w:tcBorders>
          </w:tcPr>
          <w:p>
            <w:pPr>
              <w:jc w:val="right"/>
              <w:ind w:right="526"/>
              <w:spacing w:after="0" w:line="88" w:lineRule="exact"/>
              <w:rPr>
                <w:sz w:val="20"/>
                <w:szCs w:val="20"/>
                <w:color w:val="auto"/>
              </w:rPr>
            </w:pPr>
            <w:r>
              <w:rPr>
                <w:rFonts w:ascii="Times New Roman" w:cs="Times New Roman" w:eastAsia="Times New Roman" w:hAnsi="Times New Roman"/>
                <w:sz w:val="10"/>
                <w:szCs w:val="10"/>
                <w:b w:val="1"/>
                <w:bCs w:val="1"/>
                <w:color w:val="auto"/>
              </w:rPr>
              <w:t>2026</w:t>
            </w:r>
          </w:p>
        </w:tc>
        <w:tc>
          <w:tcPr>
            <w:tcW w:w="140" w:type="dxa"/>
            <w:vAlign w:val="bottom"/>
          </w:tcPr>
          <w:p>
            <w:pPr>
              <w:spacing w:after="0"/>
              <w:rPr>
                <w:sz w:val="7"/>
                <w:szCs w:val="7"/>
                <w:color w:val="auto"/>
              </w:rPr>
            </w:pPr>
          </w:p>
        </w:tc>
        <w:tc>
          <w:tcPr>
            <w:tcW w:w="220" w:type="dxa"/>
            <w:vAlign w:val="bottom"/>
            <w:tcBorders>
              <w:top w:val="single" w:sz="8" w:color="auto"/>
              <w:bottom w:val="single" w:sz="8" w:color="auto"/>
            </w:tcBorders>
          </w:tcPr>
          <w:p>
            <w:pPr>
              <w:spacing w:after="0"/>
              <w:rPr>
                <w:sz w:val="7"/>
                <w:szCs w:val="7"/>
                <w:color w:val="auto"/>
              </w:rPr>
            </w:pPr>
          </w:p>
        </w:tc>
        <w:tc>
          <w:tcPr>
            <w:tcW w:w="1100" w:type="dxa"/>
            <w:vAlign w:val="bottom"/>
            <w:tcBorders>
              <w:top w:val="single" w:sz="8" w:color="auto"/>
              <w:bottom w:val="single" w:sz="8" w:color="auto"/>
            </w:tcBorders>
          </w:tcPr>
          <w:p>
            <w:pPr>
              <w:jc w:val="right"/>
              <w:ind w:right="506"/>
              <w:spacing w:after="0" w:line="88" w:lineRule="exact"/>
              <w:rPr>
                <w:sz w:val="20"/>
                <w:szCs w:val="20"/>
                <w:color w:val="auto"/>
              </w:rPr>
            </w:pPr>
            <w:r>
              <w:rPr>
                <w:rFonts w:ascii="Times New Roman" w:cs="Times New Roman" w:eastAsia="Times New Roman" w:hAnsi="Times New Roman"/>
                <w:sz w:val="10"/>
                <w:szCs w:val="10"/>
                <w:b w:val="1"/>
                <w:bCs w:val="1"/>
                <w:color w:val="auto"/>
              </w:rPr>
              <w:t>2025</w:t>
            </w: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79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792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Cash and due from banks</w:t>
            </w:r>
          </w:p>
        </w:tc>
        <w:tc>
          <w:tcPr>
            <w:tcW w:w="200" w:type="dxa"/>
            <w:vAlign w:val="bottom"/>
          </w:tcPr>
          <w:p>
            <w:pPr>
              <w:jc w:val="right"/>
              <w:ind w:right="133"/>
              <w:spacing w:after="0"/>
              <w:rPr>
                <w:sz w:val="20"/>
                <w:szCs w:val="20"/>
                <w:color w:val="auto"/>
              </w:rPr>
            </w:pPr>
            <w:r>
              <w:rPr>
                <w:rFonts w:ascii="Times New Roman" w:cs="Times New Roman" w:eastAsia="Times New Roman" w:hAnsi="Times New Roman"/>
                <w:sz w:val="5"/>
                <w:szCs w:val="5"/>
                <w:color w:val="auto"/>
                <w:w w:val="7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244,571</w:t>
            </w:r>
          </w:p>
        </w:tc>
        <w:tc>
          <w:tcPr>
            <w:tcW w:w="140" w:type="dxa"/>
            <w:vAlign w:val="bottom"/>
          </w:tcPr>
          <w:p>
            <w:pPr>
              <w:spacing w:after="0"/>
              <w:rPr>
                <w:sz w:val="11"/>
                <w:szCs w:val="11"/>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204,232</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92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Investment securities – available-for-sale</w:t>
            </w: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92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(amortized cost $452,751 net of allowance for credit losses of $0 at September 30, 2026 and $472,097, net of allowance for credit losses of $0 at December 31, 2025)</w:t>
            </w:r>
          </w:p>
        </w:tc>
        <w:tc>
          <w:tcPr>
            <w:tcW w:w="20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386,106</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419,406</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92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Restricted investment in bank stocks</w:t>
            </w:r>
          </w:p>
        </w:tc>
        <w:tc>
          <w:tcPr>
            <w:tcW w:w="20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6,016</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5,917</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92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Loans held-for-sale, net</w:t>
            </w:r>
          </w:p>
        </w:tc>
        <w:tc>
          <w:tcPr>
            <w:tcW w:w="20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42,572</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80" w:type="dxa"/>
            <w:vAlign w:val="bottom"/>
            <w:gridSpan w:val="2"/>
          </w:tcPr>
          <w:p>
            <w:pPr>
              <w:jc w:val="right"/>
              <w:ind w:right="6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792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Loans</w:t>
            </w:r>
          </w:p>
        </w:tc>
        <w:tc>
          <w:tcPr>
            <w:tcW w:w="20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1,966,837</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1,950,284</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792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Allowance for credit losses</w:t>
            </w:r>
          </w:p>
        </w:tc>
        <w:tc>
          <w:tcPr>
            <w:tcW w:w="200" w:type="dxa"/>
            <w:vAlign w:val="bottom"/>
          </w:tcPr>
          <w:p>
            <w:pPr>
              <w:spacing w:after="0"/>
              <w:rPr>
                <w:sz w:val="12"/>
                <w:szCs w:val="12"/>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(27,189)</w:t>
            </w:r>
          </w:p>
        </w:tc>
        <w:tc>
          <w:tcPr>
            <w:tcW w:w="220" w:type="dxa"/>
            <w:vAlign w:val="bottom"/>
          </w:tcPr>
          <w:p>
            <w:pPr>
              <w:spacing w:after="0"/>
              <w:rPr>
                <w:sz w:val="12"/>
                <w:szCs w:val="12"/>
                <w:color w:val="auto"/>
              </w:rPr>
            </w:pPr>
          </w:p>
        </w:tc>
        <w:tc>
          <w:tcPr>
            <w:tcW w:w="1680" w:type="dxa"/>
            <w:vAlign w:val="bottom"/>
            <w:gridSpan w:val="2"/>
          </w:tcPr>
          <w:p>
            <w:pPr>
              <w:jc w:val="right"/>
              <w:ind w:right="580"/>
              <w:spacing w:after="0"/>
              <w:rPr>
                <w:sz w:val="20"/>
                <w:szCs w:val="20"/>
                <w:color w:val="auto"/>
              </w:rPr>
            </w:pPr>
            <w:r>
              <w:rPr>
                <w:rFonts w:ascii="Times New Roman" w:cs="Times New Roman" w:eastAsia="Times New Roman" w:hAnsi="Times New Roman"/>
                <w:sz w:val="11"/>
                <w:szCs w:val="11"/>
                <w:color w:val="auto"/>
              </w:rPr>
              <w:t>(28,335)</w:t>
            </w:r>
          </w:p>
        </w:tc>
        <w:tc>
          <w:tcPr>
            <w:tcW w:w="0" w:type="dxa"/>
            <w:vAlign w:val="bottom"/>
          </w:tcPr>
          <w:p>
            <w:pPr>
              <w:spacing w:after="0"/>
              <w:rPr>
                <w:sz w:val="1"/>
                <w:szCs w:val="1"/>
                <w:color w:val="auto"/>
              </w:rPr>
            </w:pPr>
          </w:p>
        </w:tc>
      </w:tr>
      <w:tr>
        <w:trPr>
          <w:trHeight w:val="119"/>
        </w:trPr>
        <w:tc>
          <w:tcPr>
            <w:tcW w:w="7920" w:type="dxa"/>
            <w:vAlign w:val="bottom"/>
          </w:tcPr>
          <w:p>
            <w:pPr>
              <w:ind w:left="640"/>
              <w:spacing w:after="0" w:line="119" w:lineRule="exact"/>
              <w:rPr>
                <w:sz w:val="20"/>
                <w:szCs w:val="20"/>
                <w:color w:val="auto"/>
              </w:rPr>
            </w:pPr>
            <w:r>
              <w:rPr>
                <w:rFonts w:ascii="Times New Roman" w:cs="Times New Roman" w:eastAsia="Times New Roman" w:hAnsi="Times New Roman"/>
                <w:sz w:val="11"/>
                <w:szCs w:val="11"/>
                <w:color w:val="auto"/>
              </w:rPr>
              <w:t>Loans, net</w:t>
            </w:r>
          </w:p>
        </w:tc>
        <w:tc>
          <w:tcPr>
            <w:tcW w:w="2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1,939,648</w:t>
            </w:r>
          </w:p>
        </w:tc>
        <w:tc>
          <w:tcPr>
            <w:tcW w:w="1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1,921,949</w:t>
            </w: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792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Premises and equipment, net</w:t>
            </w:r>
          </w:p>
        </w:tc>
        <w:tc>
          <w:tcPr>
            <w:tcW w:w="20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15,170</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15,482</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92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Accrued interest receivable</w:t>
            </w:r>
          </w:p>
        </w:tc>
        <w:tc>
          <w:tcPr>
            <w:tcW w:w="20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10,540</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10,383</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92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Bank owned life insurance</w:t>
            </w:r>
          </w:p>
        </w:tc>
        <w:tc>
          <w:tcPr>
            <w:tcW w:w="20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33,162</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32,578</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92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Goodwill</w:t>
            </w:r>
          </w:p>
        </w:tc>
        <w:tc>
          <w:tcPr>
            <w:tcW w:w="20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5,359</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5,359</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92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Intangible assets</w:t>
            </w:r>
          </w:p>
        </w:tc>
        <w:tc>
          <w:tcPr>
            <w:tcW w:w="20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321</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535</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792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Other assets</w:t>
            </w: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54,282</w:t>
            </w: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43,536</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920" w:type="dxa"/>
            <w:vAlign w:val="bottom"/>
          </w:tcPr>
          <w:p>
            <w:pPr>
              <w:ind w:left="700"/>
              <w:spacing w:after="0"/>
              <w:rPr>
                <w:sz w:val="20"/>
                <w:szCs w:val="20"/>
                <w:color w:val="auto"/>
              </w:rPr>
            </w:pPr>
            <w:r>
              <w:rPr>
                <w:rFonts w:ascii="Times New Roman" w:cs="Times New Roman" w:eastAsia="Times New Roman" w:hAnsi="Times New Roman"/>
                <w:sz w:val="11"/>
                <w:szCs w:val="11"/>
                <w:color w:val="auto"/>
              </w:rPr>
              <w:t>TOTAL ASSETS</w:t>
            </w:r>
          </w:p>
        </w:tc>
        <w:tc>
          <w:tcPr>
            <w:tcW w:w="2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5"/>
                <w:szCs w:val="5"/>
                <w:color w:val="auto"/>
                <w:w w:val="7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2,737,747</w:t>
            </w:r>
          </w:p>
        </w:tc>
        <w:tc>
          <w:tcPr>
            <w:tcW w:w="140" w:type="dxa"/>
            <w:vAlign w:val="bottom"/>
          </w:tcPr>
          <w:p>
            <w:pPr>
              <w:spacing w:after="0"/>
              <w:rPr>
                <w:sz w:val="11"/>
                <w:szCs w:val="11"/>
                <w:color w:val="auto"/>
              </w:rPr>
            </w:pP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2,659,377</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7920" w:type="dxa"/>
            <w:vAlign w:val="bottom"/>
          </w:tcPr>
          <w:p>
            <w:pPr>
              <w:ind w:left="700"/>
              <w:spacing w:after="0"/>
              <w:rPr>
                <w:sz w:val="20"/>
                <w:szCs w:val="20"/>
                <w:color w:val="auto"/>
              </w:rPr>
            </w:pPr>
            <w:r>
              <w:rPr>
                <w:rFonts w:ascii="Times New Roman" w:cs="Times New Roman" w:eastAsia="Times New Roman" w:hAnsi="Times New Roman"/>
                <w:sz w:val="11"/>
                <w:szCs w:val="11"/>
                <w:b w:val="1"/>
                <w:bCs w:val="1"/>
                <w:color w:val="auto"/>
              </w:rPr>
              <w:t>LIABILITIES AND STOCKHOLDERS’ EQUITY</w:t>
            </w:r>
          </w:p>
        </w:tc>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792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Deposits:</w:t>
            </w: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920" w:type="dxa"/>
            <w:vAlign w:val="bottom"/>
          </w:tcPr>
          <w:p>
            <w:pPr>
              <w:ind w:left="640"/>
              <w:spacing w:after="0"/>
              <w:rPr>
                <w:sz w:val="20"/>
                <w:szCs w:val="20"/>
                <w:color w:val="auto"/>
              </w:rPr>
            </w:pPr>
            <w:r>
              <w:rPr>
                <w:rFonts w:ascii="Times New Roman" w:cs="Times New Roman" w:eastAsia="Times New Roman" w:hAnsi="Times New Roman"/>
                <w:sz w:val="11"/>
                <w:szCs w:val="11"/>
                <w:color w:val="auto"/>
              </w:rPr>
              <w:t>Noninterest bearing</w:t>
            </w:r>
          </w:p>
        </w:tc>
        <w:tc>
          <w:tcPr>
            <w:tcW w:w="200" w:type="dxa"/>
            <w:vAlign w:val="bottom"/>
          </w:tcPr>
          <w:p>
            <w:pPr>
              <w:jc w:val="right"/>
              <w:ind w:right="133"/>
              <w:spacing w:after="0"/>
              <w:rPr>
                <w:sz w:val="20"/>
                <w:szCs w:val="20"/>
                <w:color w:val="auto"/>
              </w:rPr>
            </w:pPr>
            <w:r>
              <w:rPr>
                <w:rFonts w:ascii="Times New Roman" w:cs="Times New Roman" w:eastAsia="Times New Roman" w:hAnsi="Times New Roman"/>
                <w:sz w:val="5"/>
                <w:szCs w:val="5"/>
                <w:color w:val="auto"/>
                <w:w w:val="7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776,773</w:t>
            </w:r>
          </w:p>
        </w:tc>
        <w:tc>
          <w:tcPr>
            <w:tcW w:w="140" w:type="dxa"/>
            <w:vAlign w:val="bottom"/>
          </w:tcPr>
          <w:p>
            <w:pPr>
              <w:spacing w:after="0"/>
              <w:rPr>
                <w:sz w:val="11"/>
                <w:szCs w:val="11"/>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725,656</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7920" w:type="dxa"/>
            <w:vAlign w:val="bottom"/>
          </w:tcPr>
          <w:p>
            <w:pPr>
              <w:ind w:left="640"/>
              <w:spacing w:after="0"/>
              <w:rPr>
                <w:sz w:val="20"/>
                <w:szCs w:val="20"/>
                <w:color w:val="auto"/>
              </w:rPr>
            </w:pPr>
            <w:r>
              <w:rPr>
                <w:rFonts w:ascii="Times New Roman" w:cs="Times New Roman" w:eastAsia="Times New Roman" w:hAnsi="Times New Roman"/>
                <w:sz w:val="11"/>
                <w:szCs w:val="11"/>
                <w:color w:val="auto"/>
              </w:rPr>
              <w:t>Interest bearing</w:t>
            </w: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1,589,567</w:t>
            </w: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1,584,717</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7920" w:type="dxa"/>
            <w:vAlign w:val="bottom"/>
          </w:tcPr>
          <w:p>
            <w:pPr>
              <w:ind w:left="700"/>
              <w:spacing w:after="0" w:line="119" w:lineRule="exact"/>
              <w:rPr>
                <w:sz w:val="20"/>
                <w:szCs w:val="20"/>
                <w:color w:val="auto"/>
              </w:rPr>
            </w:pPr>
            <w:r>
              <w:rPr>
                <w:rFonts w:ascii="Times New Roman" w:cs="Times New Roman" w:eastAsia="Times New Roman" w:hAnsi="Times New Roman"/>
                <w:sz w:val="11"/>
                <w:szCs w:val="11"/>
                <w:color w:val="auto"/>
              </w:rPr>
              <w:t>Total deposits</w:t>
            </w:r>
          </w:p>
        </w:tc>
        <w:tc>
          <w:tcPr>
            <w:tcW w:w="200" w:type="dxa"/>
            <w:vAlign w:val="bottom"/>
          </w:tcPr>
          <w:p>
            <w:pPr>
              <w:spacing w:after="0"/>
              <w:rPr>
                <w:sz w:val="10"/>
                <w:szCs w:val="10"/>
                <w:color w:val="auto"/>
              </w:rPr>
            </w:pPr>
          </w:p>
        </w:tc>
        <w:tc>
          <w:tcPr>
            <w:tcW w:w="11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2,366,340</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2,310,373</w:t>
            </w: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792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FHLB advances, long term</w:t>
            </w:r>
          </w:p>
        </w:tc>
        <w:tc>
          <w:tcPr>
            <w:tcW w:w="20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92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Subordinated notes, net of issuance costs</w:t>
            </w:r>
          </w:p>
        </w:tc>
        <w:tc>
          <w:tcPr>
            <w:tcW w:w="20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24,626</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24,555</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792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Accrued expenses and other liabilities</w:t>
            </w: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27,785</w:t>
            </w: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30,085</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7920" w:type="dxa"/>
            <w:vAlign w:val="bottom"/>
          </w:tcPr>
          <w:p>
            <w:pPr>
              <w:ind w:left="700"/>
              <w:spacing w:after="0" w:line="124" w:lineRule="exact"/>
              <w:rPr>
                <w:sz w:val="20"/>
                <w:szCs w:val="20"/>
                <w:color w:val="auto"/>
              </w:rPr>
            </w:pPr>
            <w:r>
              <w:rPr>
                <w:rFonts w:ascii="Times New Roman" w:cs="Times New Roman" w:eastAsia="Times New Roman" w:hAnsi="Times New Roman"/>
                <w:sz w:val="11"/>
                <w:szCs w:val="11"/>
                <w:color w:val="auto"/>
              </w:rPr>
              <w:t>TOTAL LIABILITIES</w:t>
            </w:r>
          </w:p>
        </w:tc>
        <w:tc>
          <w:tcPr>
            <w:tcW w:w="2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2,428,751</w:t>
            </w:r>
          </w:p>
        </w:tc>
        <w:tc>
          <w:tcPr>
            <w:tcW w:w="1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2,375,013</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7920" w:type="dxa"/>
            <w:vAlign w:val="bottom"/>
          </w:tcPr>
          <w:p>
            <w:pPr>
              <w:ind w:left="700"/>
              <w:spacing w:after="0" w:line="115" w:lineRule="exact"/>
              <w:rPr>
                <w:sz w:val="20"/>
                <w:szCs w:val="20"/>
                <w:color w:val="auto"/>
              </w:rPr>
            </w:pPr>
            <w:r>
              <w:rPr>
                <w:rFonts w:ascii="Times New Roman" w:cs="Times New Roman" w:eastAsia="Times New Roman" w:hAnsi="Times New Roman"/>
                <w:sz w:val="11"/>
                <w:szCs w:val="11"/>
                <w:b w:val="1"/>
                <w:bCs w:val="1"/>
                <w:color w:val="auto"/>
              </w:rPr>
              <w:t>STOCKHOLDERS’ EQUITY</w:t>
            </w: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792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Common stock, $0.25 par value; 30,000,000 shares authorized; 13,419,170 and 13,376,464 issued; 13,411,153 and 13,368,447 outstanding, at September 30, 2026</w:t>
            </w: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92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and December 31, 2025, respectively</w:t>
            </w:r>
          </w:p>
        </w:tc>
        <w:tc>
          <w:tcPr>
            <w:tcW w:w="20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3,355</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3,344</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92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Surplus</w:t>
            </w:r>
          </w:p>
        </w:tc>
        <w:tc>
          <w:tcPr>
            <w:tcW w:w="20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168,808</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164,592</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92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Retained Earnings</w:t>
            </w:r>
          </w:p>
        </w:tc>
        <w:tc>
          <w:tcPr>
            <w:tcW w:w="20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194,629</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164,434</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92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Accumulated other comprehensive income (loss), net of taxes</w:t>
            </w:r>
          </w:p>
        </w:tc>
        <w:tc>
          <w:tcPr>
            <w:tcW w:w="200" w:type="dxa"/>
            <w:vAlign w:val="bottom"/>
          </w:tcPr>
          <w:p>
            <w:pPr>
              <w:spacing w:after="0"/>
              <w:rPr>
                <w:sz w:val="11"/>
                <w:szCs w:val="11"/>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(57,597)</w:t>
            </w:r>
          </w:p>
        </w:tc>
        <w:tc>
          <w:tcPr>
            <w:tcW w:w="220" w:type="dxa"/>
            <w:vAlign w:val="bottom"/>
          </w:tcPr>
          <w:p>
            <w:pPr>
              <w:spacing w:after="0"/>
              <w:rPr>
                <w:sz w:val="11"/>
                <w:szCs w:val="11"/>
                <w:color w:val="auto"/>
              </w:rPr>
            </w:pPr>
          </w:p>
        </w:tc>
        <w:tc>
          <w:tcPr>
            <w:tcW w:w="1680" w:type="dxa"/>
            <w:vAlign w:val="bottom"/>
            <w:gridSpan w:val="2"/>
          </w:tcPr>
          <w:p>
            <w:pPr>
              <w:jc w:val="right"/>
              <w:ind w:right="580"/>
              <w:spacing w:after="0"/>
              <w:rPr>
                <w:sz w:val="20"/>
                <w:szCs w:val="20"/>
                <w:color w:val="auto"/>
              </w:rPr>
            </w:pPr>
            <w:r>
              <w:rPr>
                <w:rFonts w:ascii="Times New Roman" w:cs="Times New Roman" w:eastAsia="Times New Roman" w:hAnsi="Times New Roman"/>
                <w:sz w:val="11"/>
                <w:szCs w:val="11"/>
                <w:color w:val="auto"/>
              </w:rPr>
              <w:t>(47,807)</w:t>
            </w:r>
          </w:p>
        </w:tc>
        <w:tc>
          <w:tcPr>
            <w:tcW w:w="0" w:type="dxa"/>
            <w:vAlign w:val="bottom"/>
          </w:tcPr>
          <w:p>
            <w:pPr>
              <w:spacing w:after="0"/>
              <w:rPr>
                <w:sz w:val="1"/>
                <w:szCs w:val="1"/>
                <w:color w:val="auto"/>
              </w:rPr>
            </w:pPr>
          </w:p>
        </w:tc>
      </w:tr>
      <w:tr>
        <w:trPr>
          <w:trHeight w:val="140"/>
        </w:trPr>
        <w:tc>
          <w:tcPr>
            <w:tcW w:w="792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Treasury stock, at cost; 8,017 shares at September 30, 2026 and December 31, 2025, respectively</w:t>
            </w:r>
          </w:p>
        </w:tc>
        <w:tc>
          <w:tcPr>
            <w:tcW w:w="200" w:type="dxa"/>
            <w:vAlign w:val="bottom"/>
          </w:tcPr>
          <w:p>
            <w:pPr>
              <w:spacing w:after="0"/>
              <w:rPr>
                <w:sz w:val="12"/>
                <w:szCs w:val="12"/>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(199)</w:t>
            </w:r>
          </w:p>
        </w:tc>
        <w:tc>
          <w:tcPr>
            <w:tcW w:w="220" w:type="dxa"/>
            <w:vAlign w:val="bottom"/>
          </w:tcPr>
          <w:p>
            <w:pPr>
              <w:spacing w:after="0"/>
              <w:rPr>
                <w:sz w:val="12"/>
                <w:szCs w:val="12"/>
                <w:color w:val="auto"/>
              </w:rPr>
            </w:pPr>
          </w:p>
        </w:tc>
        <w:tc>
          <w:tcPr>
            <w:tcW w:w="1680" w:type="dxa"/>
            <w:vAlign w:val="bottom"/>
            <w:gridSpan w:val="2"/>
          </w:tcPr>
          <w:p>
            <w:pPr>
              <w:jc w:val="right"/>
              <w:ind w:right="580"/>
              <w:spacing w:after="0"/>
              <w:rPr>
                <w:sz w:val="20"/>
                <w:szCs w:val="20"/>
                <w:color w:val="auto"/>
              </w:rPr>
            </w:pPr>
            <w:r>
              <w:rPr>
                <w:rFonts w:ascii="Times New Roman" w:cs="Times New Roman" w:eastAsia="Times New Roman" w:hAnsi="Times New Roman"/>
                <w:sz w:val="11"/>
                <w:szCs w:val="11"/>
                <w:color w:val="auto"/>
              </w:rPr>
              <w:t>(199)</w:t>
            </w:r>
          </w:p>
        </w:tc>
        <w:tc>
          <w:tcPr>
            <w:tcW w:w="0" w:type="dxa"/>
            <w:vAlign w:val="bottom"/>
          </w:tcPr>
          <w:p>
            <w:pPr>
              <w:spacing w:after="0"/>
              <w:rPr>
                <w:sz w:val="1"/>
                <w:szCs w:val="1"/>
                <w:color w:val="auto"/>
              </w:rPr>
            </w:pPr>
          </w:p>
        </w:tc>
      </w:tr>
      <w:tr>
        <w:trPr>
          <w:trHeight w:val="128"/>
        </w:trPr>
        <w:tc>
          <w:tcPr>
            <w:tcW w:w="7920" w:type="dxa"/>
            <w:vAlign w:val="bottom"/>
          </w:tcPr>
          <w:p>
            <w:pPr>
              <w:ind w:left="700"/>
              <w:spacing w:after="0" w:line="124" w:lineRule="exact"/>
              <w:rPr>
                <w:sz w:val="20"/>
                <w:szCs w:val="20"/>
                <w:color w:val="auto"/>
              </w:rPr>
            </w:pPr>
            <w:r>
              <w:rPr>
                <w:rFonts w:ascii="Times New Roman" w:cs="Times New Roman" w:eastAsia="Times New Roman" w:hAnsi="Times New Roman"/>
                <w:sz w:val="11"/>
                <w:szCs w:val="11"/>
                <w:color w:val="auto"/>
              </w:rPr>
              <w:t>TOTAL STOCKHOLDERS’ EQUITY</w:t>
            </w:r>
          </w:p>
        </w:tc>
        <w:tc>
          <w:tcPr>
            <w:tcW w:w="200" w:type="dxa"/>
            <w:vAlign w:val="bottom"/>
            <w:tcBorders>
              <w:top w:val="single" w:sz="8" w:color="auto"/>
              <w:bottom w:val="single" w:sz="8" w:color="auto"/>
            </w:tcBorders>
          </w:tcPr>
          <w:p>
            <w:pPr>
              <w:spacing w:after="0"/>
              <w:rPr>
                <w:sz w:val="11"/>
                <w:szCs w:val="1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308,996</w:t>
            </w:r>
          </w:p>
        </w:tc>
        <w:tc>
          <w:tcPr>
            <w:tcW w:w="140" w:type="dxa"/>
            <w:vAlign w:val="bottom"/>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284,364</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920" w:type="dxa"/>
            <w:vAlign w:val="bottom"/>
          </w:tcPr>
          <w:p>
            <w:pPr>
              <w:ind w:left="700"/>
              <w:spacing w:after="0" w:line="124" w:lineRule="exact"/>
              <w:rPr>
                <w:sz w:val="20"/>
                <w:szCs w:val="20"/>
                <w:color w:val="auto"/>
              </w:rPr>
            </w:pPr>
            <w:r>
              <w:rPr>
                <w:rFonts w:ascii="Times New Roman" w:cs="Times New Roman" w:eastAsia="Times New Roman" w:hAnsi="Times New Roman"/>
                <w:sz w:val="11"/>
                <w:szCs w:val="11"/>
                <w:color w:val="auto"/>
              </w:rPr>
              <w:t>TOTAL LIABILITIES AND STOCKHOLDERS’ EQUITY</w:t>
            </w:r>
          </w:p>
        </w:tc>
        <w:tc>
          <w:tcPr>
            <w:tcW w:w="2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5"/>
                <w:szCs w:val="5"/>
                <w:color w:val="auto"/>
                <w:w w:val="78"/>
              </w:rPr>
              <w:t>$</w:t>
            </w:r>
          </w:p>
        </w:tc>
        <w:tc>
          <w:tcPr>
            <w:tcW w:w="114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2,737,747</w:t>
            </w:r>
          </w:p>
        </w:tc>
        <w:tc>
          <w:tcPr>
            <w:tcW w:w="140" w:type="dxa"/>
            <w:vAlign w:val="bottom"/>
          </w:tcPr>
          <w:p>
            <w:pPr>
              <w:spacing w:after="0"/>
              <w:rPr>
                <w:sz w:val="11"/>
                <w:szCs w:val="11"/>
                <w:color w:val="auto"/>
              </w:rPr>
            </w:pPr>
          </w:p>
        </w:tc>
        <w:tc>
          <w:tcPr>
            <w:tcW w:w="220" w:type="dxa"/>
            <w:vAlign w:val="bottom"/>
            <w:tcBorders>
              <w:bottom w:val="single" w:sz="8" w:color="auto"/>
            </w:tcBorders>
          </w:tcPr>
          <w:p>
            <w:pPr>
              <w:jc w:val="right"/>
              <w:ind w:right="106"/>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2,659,377</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7920" w:type="dxa"/>
            <w:vAlign w:val="bottom"/>
            <w:tcBorders>
              <w:bottom w:val="single" w:sz="8" w:color="9A9A9A"/>
            </w:tcBorders>
          </w:tcPr>
          <w:p>
            <w:pPr>
              <w:spacing w:after="0"/>
              <w:rPr>
                <w:sz w:val="21"/>
                <w:szCs w:val="21"/>
                <w:color w:val="auto"/>
              </w:rPr>
            </w:pPr>
          </w:p>
        </w:tc>
        <w:tc>
          <w:tcPr>
            <w:tcW w:w="200" w:type="dxa"/>
            <w:vAlign w:val="bottom"/>
            <w:tcBorders>
              <w:bottom w:val="single" w:sz="8" w:color="9A9A9A"/>
            </w:tcBorders>
          </w:tcPr>
          <w:p>
            <w:pPr>
              <w:spacing w:after="0"/>
              <w:rPr>
                <w:sz w:val="21"/>
                <w:szCs w:val="21"/>
                <w:color w:val="auto"/>
              </w:rPr>
            </w:pPr>
          </w:p>
        </w:tc>
        <w:tc>
          <w:tcPr>
            <w:tcW w:w="1140" w:type="dxa"/>
            <w:vAlign w:val="bottom"/>
            <w:tcBorders>
              <w:bottom w:val="single" w:sz="8" w:color="9A9A9A"/>
            </w:tcBorders>
          </w:tcPr>
          <w:p>
            <w:pPr>
              <w:spacing w:after="0"/>
              <w:rPr>
                <w:sz w:val="21"/>
                <w:szCs w:val="21"/>
                <w:color w:val="auto"/>
              </w:rPr>
            </w:pPr>
          </w:p>
        </w:tc>
        <w:tc>
          <w:tcPr>
            <w:tcW w:w="140" w:type="dxa"/>
            <w:vAlign w:val="bottom"/>
            <w:tcBorders>
              <w:bottom w:val="single" w:sz="8" w:color="9A9A9A"/>
            </w:tcBorders>
          </w:tcPr>
          <w:p>
            <w:pPr>
              <w:spacing w:after="0"/>
              <w:rPr>
                <w:sz w:val="21"/>
                <w:szCs w:val="21"/>
                <w:color w:val="auto"/>
              </w:rPr>
            </w:pPr>
          </w:p>
        </w:tc>
        <w:tc>
          <w:tcPr>
            <w:tcW w:w="220" w:type="dxa"/>
            <w:vAlign w:val="bottom"/>
            <w:tcBorders>
              <w:bottom w:val="single" w:sz="8" w:color="9A9A9A"/>
            </w:tcBorders>
          </w:tcPr>
          <w:p>
            <w:pPr>
              <w:spacing w:after="0"/>
              <w:rPr>
                <w:sz w:val="21"/>
                <w:szCs w:val="21"/>
                <w:color w:val="auto"/>
              </w:rPr>
            </w:pPr>
          </w:p>
        </w:tc>
        <w:tc>
          <w:tcPr>
            <w:tcW w:w="1100" w:type="dxa"/>
            <w:vAlign w:val="bottom"/>
            <w:tcBorders>
              <w:bottom w:val="single" w:sz="8" w:color="9A9A9A"/>
            </w:tcBorders>
          </w:tcPr>
          <w:p>
            <w:pPr>
              <w:spacing w:after="0"/>
              <w:rPr>
                <w:sz w:val="21"/>
                <w:szCs w:val="21"/>
                <w:color w:val="auto"/>
              </w:rPr>
            </w:pPr>
          </w:p>
        </w:tc>
        <w:tc>
          <w:tcPr>
            <w:tcW w:w="580" w:type="dxa"/>
            <w:vAlign w:val="bottom"/>
            <w:tcBorders>
              <w:bottom w:val="single" w:sz="8" w:color="9A9A9A"/>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ORANGE COUNTY BANCORP,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CONDENSED CONSOLIDATEDSTATEMENTS OF INCOME</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(Dollar Amounts in thousands except per share data)</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20" w:type="dxa"/>
            <w:vAlign w:val="bottom"/>
            <w:gridSpan w:val="3"/>
          </w:tcPr>
          <w:p>
            <w:pPr>
              <w:jc w:val="right"/>
              <w:ind w:right="56"/>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00" w:type="dxa"/>
            <w:vAlign w:val="bottom"/>
            <w:gridSpan w:val="3"/>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28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3"/>
          </w:tcPr>
          <w:p>
            <w:pPr>
              <w:jc w:val="right"/>
              <w:ind w:right="196"/>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76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3"/>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760" w:type="dxa"/>
            <w:vAlign w:val="bottom"/>
            <w:tcBorders>
              <w:bottom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5280" w:type="dxa"/>
            <w:vAlign w:val="bottom"/>
            <w:vMerge w:val="restart"/>
          </w:tcPr>
          <w:p>
            <w:pPr>
              <w:ind w:left="560"/>
              <w:spacing w:after="0"/>
              <w:rPr>
                <w:sz w:val="20"/>
                <w:szCs w:val="20"/>
                <w:color w:val="auto"/>
              </w:rPr>
            </w:pPr>
            <w:r>
              <w:rPr>
                <w:rFonts w:ascii="Times New Roman" w:cs="Times New Roman" w:eastAsia="Times New Roman" w:hAnsi="Times New Roman"/>
                <w:sz w:val="10"/>
                <w:szCs w:val="10"/>
                <w:b w:val="1"/>
                <w:bCs w:val="1"/>
                <w:color w:val="auto"/>
              </w:rPr>
              <w:t>INTEREST INCOME</w:t>
            </w:r>
          </w:p>
        </w:tc>
        <w:tc>
          <w:tcPr>
            <w:tcW w:w="68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2026</w:t>
            </w:r>
          </w:p>
        </w:tc>
        <w:tc>
          <w:tcPr>
            <w:tcW w:w="4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jc w:val="right"/>
              <w:ind w:right="432"/>
              <w:spacing w:after="0" w:line="88" w:lineRule="exact"/>
              <w:rPr>
                <w:sz w:val="20"/>
                <w:szCs w:val="20"/>
                <w:color w:val="auto"/>
              </w:rPr>
            </w:pPr>
            <w:r>
              <w:rPr>
                <w:rFonts w:ascii="Times New Roman" w:cs="Times New Roman" w:eastAsia="Times New Roman" w:hAnsi="Times New Roman"/>
                <w:sz w:val="10"/>
                <w:szCs w:val="10"/>
                <w:b w:val="1"/>
                <w:bCs w:val="1"/>
                <w:color w:val="auto"/>
              </w:rPr>
              <w:t>2025</w:t>
            </w:r>
          </w:p>
        </w:tc>
        <w:tc>
          <w:tcPr>
            <w:tcW w:w="36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jc w:val="right"/>
              <w:ind w:right="432"/>
              <w:spacing w:after="0" w:line="88" w:lineRule="exact"/>
              <w:rPr>
                <w:sz w:val="20"/>
                <w:szCs w:val="20"/>
                <w:color w:val="auto"/>
              </w:rPr>
            </w:pPr>
            <w:r>
              <w:rPr>
                <w:rFonts w:ascii="Times New Roman" w:cs="Times New Roman" w:eastAsia="Times New Roman" w:hAnsi="Times New Roman"/>
                <w:sz w:val="10"/>
                <w:szCs w:val="10"/>
                <w:b w:val="1"/>
                <w:bCs w:val="1"/>
                <w:color w:val="auto"/>
              </w:rPr>
              <w:t>2026</w:t>
            </w:r>
          </w:p>
        </w:tc>
        <w:tc>
          <w:tcPr>
            <w:tcW w:w="24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jc w:val="right"/>
              <w:ind w:right="412"/>
              <w:spacing w:after="0" w:line="88" w:lineRule="exact"/>
              <w:rPr>
                <w:sz w:val="20"/>
                <w:szCs w:val="20"/>
                <w:color w:val="auto"/>
              </w:rPr>
            </w:pPr>
            <w:r>
              <w:rPr>
                <w:rFonts w:ascii="Times New Roman" w:cs="Times New Roman" w:eastAsia="Times New Roman" w:hAnsi="Times New Roman"/>
                <w:sz w:val="10"/>
                <w:szCs w:val="10"/>
                <w:b w:val="1"/>
                <w:bCs w:val="1"/>
                <w:color w:val="auto"/>
              </w:rPr>
              <w:t>2025</w:t>
            </w: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528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5280" w:type="dxa"/>
            <w:vAlign w:val="bottom"/>
          </w:tcPr>
          <w:p>
            <w:pPr>
              <w:ind w:left="640"/>
              <w:spacing w:after="0" w:line="99" w:lineRule="exact"/>
              <w:rPr>
                <w:sz w:val="20"/>
                <w:szCs w:val="20"/>
                <w:color w:val="auto"/>
              </w:rPr>
            </w:pPr>
            <w:r>
              <w:rPr>
                <w:rFonts w:ascii="Times New Roman" w:cs="Times New Roman" w:eastAsia="Times New Roman" w:hAnsi="Times New Roman"/>
                <w:sz w:val="10"/>
                <w:szCs w:val="10"/>
                <w:color w:val="auto"/>
              </w:rPr>
              <w:t>Interest and fees on loans</w:t>
            </w:r>
          </w:p>
        </w:tc>
        <w:tc>
          <w:tcPr>
            <w:tcW w:w="680" w:type="dxa"/>
            <w:vAlign w:val="bottom"/>
          </w:tcPr>
          <w:p>
            <w:pPr>
              <w:jc w:val="right"/>
              <w:ind w:right="610"/>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31,108</w:t>
            </w:r>
          </w:p>
        </w:tc>
        <w:tc>
          <w:tcPr>
            <w:tcW w:w="260" w:type="dxa"/>
            <w:vAlign w:val="bottom"/>
          </w:tcPr>
          <w:p>
            <w:pPr>
              <w:spacing w:after="0"/>
              <w:rPr>
                <w:sz w:val="8"/>
                <w:szCs w:val="8"/>
                <w:color w:val="auto"/>
              </w:rPr>
            </w:pPr>
          </w:p>
        </w:tc>
        <w:tc>
          <w:tcPr>
            <w:tcW w:w="380" w:type="dxa"/>
            <w:vAlign w:val="bottom"/>
          </w:tcPr>
          <w:p>
            <w:pPr>
              <w:jc w:val="right"/>
              <w:ind w:right="316"/>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29,839</w:t>
            </w:r>
          </w:p>
        </w:tc>
        <w:tc>
          <w:tcPr>
            <w:tcW w:w="360" w:type="dxa"/>
            <w:vAlign w:val="bottom"/>
          </w:tcPr>
          <w:p>
            <w:pPr>
              <w:spacing w:after="0"/>
              <w:rPr>
                <w:sz w:val="8"/>
                <w:szCs w:val="8"/>
                <w:color w:val="auto"/>
              </w:rPr>
            </w:pPr>
          </w:p>
        </w:tc>
        <w:tc>
          <w:tcPr>
            <w:tcW w:w="260" w:type="dxa"/>
            <w:vAlign w:val="bottom"/>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8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90,523</w:t>
            </w:r>
          </w:p>
        </w:tc>
        <w:tc>
          <w:tcPr>
            <w:tcW w:w="240" w:type="dxa"/>
            <w:vAlign w:val="bottom"/>
          </w:tcPr>
          <w:p>
            <w:pPr>
              <w:spacing w:after="0"/>
              <w:rPr>
                <w:sz w:val="8"/>
                <w:szCs w:val="8"/>
                <w:color w:val="auto"/>
              </w:rPr>
            </w:pPr>
          </w:p>
        </w:tc>
        <w:tc>
          <w:tcPr>
            <w:tcW w:w="380" w:type="dxa"/>
            <w:vAlign w:val="bottom"/>
          </w:tcPr>
          <w:p>
            <w:pPr>
              <w:jc w:val="right"/>
              <w:ind w:right="272"/>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85,256</w:t>
            </w: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280" w:type="dxa"/>
            <w:vAlign w:val="bottom"/>
          </w:tcPr>
          <w:p>
            <w:pPr>
              <w:ind w:left="640"/>
              <w:spacing w:after="0" w:line="99" w:lineRule="exact"/>
              <w:rPr>
                <w:sz w:val="20"/>
                <w:szCs w:val="20"/>
                <w:color w:val="auto"/>
              </w:rPr>
            </w:pPr>
            <w:r>
              <w:rPr>
                <w:rFonts w:ascii="Times New Roman" w:cs="Times New Roman" w:eastAsia="Times New Roman" w:hAnsi="Times New Roman"/>
                <w:sz w:val="10"/>
                <w:szCs w:val="10"/>
                <w:color w:val="auto"/>
              </w:rPr>
              <w:t>Interest on investment securities:</w:t>
            </w: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280" w:type="dxa"/>
            <w:vAlign w:val="bottom"/>
          </w:tcPr>
          <w:p>
            <w:pPr>
              <w:ind w:left="700"/>
              <w:spacing w:after="0" w:line="99" w:lineRule="exact"/>
              <w:rPr>
                <w:sz w:val="20"/>
                <w:szCs w:val="20"/>
                <w:color w:val="auto"/>
              </w:rPr>
            </w:pPr>
            <w:r>
              <w:rPr>
                <w:rFonts w:ascii="Times New Roman" w:cs="Times New Roman" w:eastAsia="Times New Roman" w:hAnsi="Times New Roman"/>
                <w:sz w:val="10"/>
                <w:szCs w:val="10"/>
                <w:color w:val="auto"/>
              </w:rPr>
              <w:t>Taxable</w:t>
            </w:r>
          </w:p>
        </w:tc>
        <w:tc>
          <w:tcPr>
            <w:tcW w:w="68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2,393</w:t>
            </w: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2,641</w:t>
            </w: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7,323</w:t>
            </w: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8,036</w:t>
            </w: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280" w:type="dxa"/>
            <w:vAlign w:val="bottom"/>
          </w:tcPr>
          <w:p>
            <w:pPr>
              <w:ind w:left="700"/>
              <w:spacing w:after="0" w:line="99" w:lineRule="exact"/>
              <w:rPr>
                <w:sz w:val="20"/>
                <w:szCs w:val="20"/>
                <w:color w:val="auto"/>
              </w:rPr>
            </w:pPr>
            <w:r>
              <w:rPr>
                <w:rFonts w:ascii="Times New Roman" w:cs="Times New Roman" w:eastAsia="Times New Roman" w:hAnsi="Times New Roman"/>
                <w:sz w:val="10"/>
                <w:szCs w:val="10"/>
                <w:color w:val="auto"/>
              </w:rPr>
              <w:t>Tax exempt</w:t>
            </w:r>
          </w:p>
        </w:tc>
        <w:tc>
          <w:tcPr>
            <w:tcW w:w="68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492</w:t>
            </w: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506</w:t>
            </w: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1,493</w:t>
            </w: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1,643</w:t>
            </w: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5280" w:type="dxa"/>
            <w:vAlign w:val="bottom"/>
          </w:tcPr>
          <w:p>
            <w:pPr>
              <w:ind w:left="640"/>
              <w:spacing w:after="0" w:line="114" w:lineRule="exact"/>
              <w:rPr>
                <w:sz w:val="20"/>
                <w:szCs w:val="20"/>
                <w:color w:val="auto"/>
              </w:rPr>
            </w:pPr>
            <w:r>
              <w:rPr>
                <w:rFonts w:ascii="Times New Roman" w:cs="Times New Roman" w:eastAsia="Times New Roman" w:hAnsi="Times New Roman"/>
                <w:sz w:val="10"/>
                <w:szCs w:val="10"/>
                <w:color w:val="auto"/>
              </w:rPr>
              <w:t>Interest on Federal funds sold and other</w:t>
            </w:r>
          </w:p>
        </w:tc>
        <w:tc>
          <w:tcPr>
            <w:tcW w:w="6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2,213</w:t>
            </w:r>
          </w:p>
        </w:tc>
        <w:tc>
          <w:tcPr>
            <w:tcW w:w="26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1,542</w:t>
            </w:r>
          </w:p>
        </w:tc>
        <w:tc>
          <w:tcPr>
            <w:tcW w:w="3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5,836</w:t>
            </w:r>
          </w:p>
        </w:tc>
        <w:tc>
          <w:tcPr>
            <w:tcW w:w="24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4,724</w:t>
            </w: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5280" w:type="dxa"/>
            <w:vAlign w:val="bottom"/>
          </w:tcPr>
          <w:p>
            <w:pPr>
              <w:ind w:left="700"/>
              <w:spacing w:after="0" w:line="88" w:lineRule="exact"/>
              <w:rPr>
                <w:sz w:val="20"/>
                <w:szCs w:val="20"/>
                <w:color w:val="auto"/>
              </w:rPr>
            </w:pPr>
            <w:r>
              <w:rPr>
                <w:rFonts w:ascii="Times New Roman" w:cs="Times New Roman" w:eastAsia="Times New Roman" w:hAnsi="Times New Roman"/>
                <w:sz w:val="10"/>
                <w:szCs w:val="10"/>
                <w:color w:val="auto"/>
              </w:rPr>
              <w:t>TOTAL INTEREST INCOME</w:t>
            </w:r>
          </w:p>
        </w:tc>
        <w:tc>
          <w:tcPr>
            <w:tcW w:w="6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36,206</w:t>
            </w:r>
          </w:p>
        </w:tc>
        <w:tc>
          <w:tcPr>
            <w:tcW w:w="26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34,528</w:t>
            </w:r>
          </w:p>
        </w:tc>
        <w:tc>
          <w:tcPr>
            <w:tcW w:w="36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105,175</w:t>
            </w:r>
          </w:p>
        </w:tc>
        <w:tc>
          <w:tcPr>
            <w:tcW w:w="24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99,659</w:t>
            </w: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5280" w:type="dxa"/>
            <w:vAlign w:val="bottom"/>
          </w:tcPr>
          <w:p>
            <w:pPr>
              <w:ind w:left="560"/>
              <w:spacing w:after="0" w:line="74" w:lineRule="exact"/>
              <w:rPr>
                <w:sz w:val="20"/>
                <w:szCs w:val="20"/>
                <w:color w:val="auto"/>
              </w:rPr>
            </w:pPr>
            <w:r>
              <w:rPr>
                <w:rFonts w:ascii="Times New Roman" w:cs="Times New Roman" w:eastAsia="Times New Roman" w:hAnsi="Times New Roman"/>
                <w:sz w:val="8"/>
                <w:szCs w:val="8"/>
                <w:b w:val="1"/>
                <w:bCs w:val="1"/>
                <w:color w:val="auto"/>
              </w:rPr>
              <w:t>INTEREST EXPENSE</w:t>
            </w: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5280" w:type="dxa"/>
            <w:vAlign w:val="bottom"/>
          </w:tcPr>
          <w:p>
            <w:pPr>
              <w:ind w:left="640"/>
              <w:spacing w:after="0" w:line="99" w:lineRule="exact"/>
              <w:rPr>
                <w:sz w:val="20"/>
                <w:szCs w:val="20"/>
                <w:color w:val="auto"/>
              </w:rPr>
            </w:pPr>
            <w:r>
              <w:rPr>
                <w:rFonts w:ascii="Times New Roman" w:cs="Times New Roman" w:eastAsia="Times New Roman" w:hAnsi="Times New Roman"/>
                <w:sz w:val="10"/>
                <w:szCs w:val="10"/>
                <w:color w:val="auto"/>
              </w:rPr>
              <w:t>Savings and NOW accounts</w:t>
            </w:r>
          </w:p>
        </w:tc>
        <w:tc>
          <w:tcPr>
            <w:tcW w:w="68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5,597</w:t>
            </w: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5,496</w:t>
            </w: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16,185</w:t>
            </w: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15,646</w:t>
            </w: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280" w:type="dxa"/>
            <w:vAlign w:val="bottom"/>
          </w:tcPr>
          <w:p>
            <w:pPr>
              <w:ind w:left="640"/>
              <w:spacing w:after="0" w:line="99" w:lineRule="exact"/>
              <w:rPr>
                <w:sz w:val="20"/>
                <w:szCs w:val="20"/>
                <w:color w:val="auto"/>
              </w:rPr>
            </w:pPr>
            <w:r>
              <w:rPr>
                <w:rFonts w:ascii="Times New Roman" w:cs="Times New Roman" w:eastAsia="Times New Roman" w:hAnsi="Times New Roman"/>
                <w:sz w:val="10"/>
                <w:szCs w:val="10"/>
                <w:color w:val="auto"/>
              </w:rPr>
              <w:t>Time deposits</w:t>
            </w:r>
          </w:p>
        </w:tc>
        <w:tc>
          <w:tcPr>
            <w:tcW w:w="68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159</w:t>
            </w: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852</w:t>
            </w: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1,125</w:t>
            </w: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5,298</w:t>
            </w: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280" w:type="dxa"/>
            <w:vAlign w:val="bottom"/>
          </w:tcPr>
          <w:p>
            <w:pPr>
              <w:ind w:left="640"/>
              <w:spacing w:after="0" w:line="99" w:lineRule="exact"/>
              <w:rPr>
                <w:sz w:val="20"/>
                <w:szCs w:val="20"/>
                <w:color w:val="auto"/>
              </w:rPr>
            </w:pPr>
            <w:r>
              <w:rPr>
                <w:rFonts w:ascii="Times New Roman" w:cs="Times New Roman" w:eastAsia="Times New Roman" w:hAnsi="Times New Roman"/>
                <w:sz w:val="10"/>
                <w:szCs w:val="10"/>
                <w:color w:val="auto"/>
              </w:rPr>
              <w:t>FHLB advances</w:t>
            </w:r>
          </w:p>
        </w:tc>
        <w:tc>
          <w:tcPr>
            <w:tcW w:w="68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100</w:t>
            </w: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616</w:t>
            </w: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332</w:t>
            </w: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1,922</w:t>
            </w: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5280" w:type="dxa"/>
            <w:vAlign w:val="bottom"/>
          </w:tcPr>
          <w:p>
            <w:pPr>
              <w:ind w:left="640"/>
              <w:spacing w:after="0" w:line="114" w:lineRule="exact"/>
              <w:rPr>
                <w:sz w:val="20"/>
                <w:szCs w:val="20"/>
                <w:color w:val="auto"/>
              </w:rPr>
            </w:pPr>
            <w:r>
              <w:rPr>
                <w:rFonts w:ascii="Times New Roman" w:cs="Times New Roman" w:eastAsia="Times New Roman" w:hAnsi="Times New Roman"/>
                <w:sz w:val="10"/>
                <w:szCs w:val="10"/>
                <w:color w:val="auto"/>
              </w:rPr>
              <w:t>Subordinated notes</w:t>
            </w:r>
          </w:p>
        </w:tc>
        <w:tc>
          <w:tcPr>
            <w:tcW w:w="6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429</w:t>
            </w:r>
          </w:p>
        </w:tc>
        <w:tc>
          <w:tcPr>
            <w:tcW w:w="26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617</w:t>
            </w:r>
          </w:p>
        </w:tc>
        <w:tc>
          <w:tcPr>
            <w:tcW w:w="3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1,289</w:t>
            </w:r>
          </w:p>
        </w:tc>
        <w:tc>
          <w:tcPr>
            <w:tcW w:w="24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1,078</w:t>
            </w: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5280" w:type="dxa"/>
            <w:vAlign w:val="bottom"/>
          </w:tcPr>
          <w:p>
            <w:pPr>
              <w:ind w:left="700"/>
              <w:spacing w:after="0" w:line="88" w:lineRule="exact"/>
              <w:rPr>
                <w:sz w:val="20"/>
                <w:szCs w:val="20"/>
                <w:color w:val="auto"/>
              </w:rPr>
            </w:pPr>
            <w:r>
              <w:rPr>
                <w:rFonts w:ascii="Times New Roman" w:cs="Times New Roman" w:eastAsia="Times New Roman" w:hAnsi="Times New Roman"/>
                <w:sz w:val="10"/>
                <w:szCs w:val="10"/>
                <w:color w:val="auto"/>
              </w:rPr>
              <w:t>TOTAL INTEREST EXPENSE</w:t>
            </w:r>
          </w:p>
        </w:tc>
        <w:tc>
          <w:tcPr>
            <w:tcW w:w="6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6,285</w:t>
            </w:r>
          </w:p>
        </w:tc>
        <w:tc>
          <w:tcPr>
            <w:tcW w:w="26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7,581</w:t>
            </w:r>
          </w:p>
        </w:tc>
        <w:tc>
          <w:tcPr>
            <w:tcW w:w="36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18,931</w:t>
            </w:r>
          </w:p>
        </w:tc>
        <w:tc>
          <w:tcPr>
            <w:tcW w:w="24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23,944</w:t>
            </w: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5280" w:type="dxa"/>
            <w:vAlign w:val="bottom"/>
          </w:tcPr>
          <w:p>
            <w:pPr>
              <w:ind w:left="700"/>
              <w:spacing w:after="0" w:line="74" w:lineRule="exact"/>
              <w:rPr>
                <w:sz w:val="20"/>
                <w:szCs w:val="20"/>
                <w:color w:val="auto"/>
              </w:rPr>
            </w:pPr>
            <w:r>
              <w:rPr>
                <w:rFonts w:ascii="Times New Roman" w:cs="Times New Roman" w:eastAsia="Times New Roman" w:hAnsi="Times New Roman"/>
                <w:sz w:val="8"/>
                <w:szCs w:val="8"/>
                <w:color w:val="auto"/>
              </w:rPr>
              <w:t>NET INTEREST INCOME</w:t>
            </w:r>
          </w:p>
        </w:tc>
        <w:tc>
          <w:tcPr>
            <w:tcW w:w="680" w:type="dxa"/>
            <w:vAlign w:val="bottom"/>
          </w:tcPr>
          <w:p>
            <w:pPr>
              <w:spacing w:after="0"/>
              <w:rPr>
                <w:sz w:val="6"/>
                <w:szCs w:val="6"/>
                <w:color w:val="auto"/>
              </w:rPr>
            </w:pPr>
          </w:p>
        </w:tc>
        <w:tc>
          <w:tcPr>
            <w:tcW w:w="480" w:type="dxa"/>
            <w:vAlign w:val="bottom"/>
          </w:tcPr>
          <w:p>
            <w:pPr>
              <w:jc w:val="right"/>
              <w:spacing w:after="0" w:line="74" w:lineRule="exact"/>
              <w:rPr>
                <w:sz w:val="20"/>
                <w:szCs w:val="20"/>
                <w:color w:val="auto"/>
              </w:rPr>
            </w:pPr>
            <w:r>
              <w:rPr>
                <w:rFonts w:ascii="Times New Roman" w:cs="Times New Roman" w:eastAsia="Times New Roman" w:hAnsi="Times New Roman"/>
                <w:sz w:val="8"/>
                <w:szCs w:val="8"/>
                <w:color w:val="auto"/>
              </w:rPr>
              <w:t>29,921</w:t>
            </w:r>
          </w:p>
        </w:tc>
        <w:tc>
          <w:tcPr>
            <w:tcW w:w="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jc w:val="right"/>
              <w:spacing w:after="0" w:line="74" w:lineRule="exact"/>
              <w:rPr>
                <w:sz w:val="20"/>
                <w:szCs w:val="20"/>
                <w:color w:val="auto"/>
              </w:rPr>
            </w:pPr>
            <w:r>
              <w:rPr>
                <w:rFonts w:ascii="Times New Roman" w:cs="Times New Roman" w:eastAsia="Times New Roman" w:hAnsi="Times New Roman"/>
                <w:sz w:val="8"/>
                <w:szCs w:val="8"/>
                <w:color w:val="auto"/>
              </w:rPr>
              <w:t>26,947</w:t>
            </w:r>
          </w:p>
        </w:tc>
        <w:tc>
          <w:tcPr>
            <w:tcW w:w="3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jc w:val="right"/>
              <w:spacing w:after="0" w:line="74" w:lineRule="exact"/>
              <w:rPr>
                <w:sz w:val="20"/>
                <w:szCs w:val="20"/>
                <w:color w:val="auto"/>
              </w:rPr>
            </w:pPr>
            <w:r>
              <w:rPr>
                <w:rFonts w:ascii="Times New Roman" w:cs="Times New Roman" w:eastAsia="Times New Roman" w:hAnsi="Times New Roman"/>
                <w:sz w:val="8"/>
                <w:szCs w:val="8"/>
                <w:color w:val="auto"/>
              </w:rPr>
              <w:t>86,244</w:t>
            </w:r>
          </w:p>
        </w:tc>
        <w:tc>
          <w:tcPr>
            <w:tcW w:w="2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jc w:val="right"/>
              <w:spacing w:after="0" w:line="74" w:lineRule="exact"/>
              <w:rPr>
                <w:sz w:val="20"/>
                <w:szCs w:val="20"/>
                <w:color w:val="auto"/>
              </w:rPr>
            </w:pPr>
            <w:r>
              <w:rPr>
                <w:rFonts w:ascii="Times New Roman" w:cs="Times New Roman" w:eastAsia="Times New Roman" w:hAnsi="Times New Roman"/>
                <w:sz w:val="8"/>
                <w:szCs w:val="8"/>
                <w:color w:val="auto"/>
              </w:rPr>
              <w:t>75,715</w:t>
            </w: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5280" w:type="dxa"/>
            <w:vAlign w:val="bottom"/>
          </w:tcPr>
          <w:p>
            <w:pPr>
              <w:ind w:left="560"/>
              <w:spacing w:after="0" w:line="114" w:lineRule="exact"/>
              <w:rPr>
                <w:sz w:val="20"/>
                <w:szCs w:val="20"/>
                <w:color w:val="auto"/>
              </w:rPr>
            </w:pPr>
            <w:r>
              <w:rPr>
                <w:rFonts w:ascii="Times New Roman" w:cs="Times New Roman" w:eastAsia="Times New Roman" w:hAnsi="Times New Roman"/>
                <w:sz w:val="10"/>
                <w:szCs w:val="10"/>
                <w:color w:val="auto"/>
              </w:rPr>
              <w:t>Provision (credit) for credit losses - loans</w:t>
            </w:r>
          </w:p>
        </w:tc>
        <w:tc>
          <w:tcPr>
            <w:tcW w:w="680" w:type="dxa"/>
            <w:vAlign w:val="bottom"/>
          </w:tcPr>
          <w:p>
            <w:pPr>
              <w:spacing w:after="0"/>
              <w:rPr>
                <w:sz w:val="9"/>
                <w:szCs w:val="9"/>
                <w:color w:val="auto"/>
              </w:rPr>
            </w:pPr>
          </w:p>
        </w:tc>
        <w:tc>
          <w:tcPr>
            <w:tcW w:w="48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809</w:t>
            </w: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3,876</w:t>
            </w: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20" w:type="dxa"/>
            <w:vAlign w:val="bottom"/>
            <w:gridSpan w:val="2"/>
          </w:tcPr>
          <w:p>
            <w:pPr>
              <w:jc w:val="right"/>
              <w:ind w:right="240"/>
              <w:spacing w:after="0" w:line="114" w:lineRule="exact"/>
              <w:rPr>
                <w:sz w:val="20"/>
                <w:szCs w:val="20"/>
                <w:color w:val="auto"/>
              </w:rPr>
            </w:pPr>
            <w:r>
              <w:rPr>
                <w:rFonts w:ascii="Times New Roman" w:cs="Times New Roman" w:eastAsia="Times New Roman" w:hAnsi="Times New Roman"/>
                <w:sz w:val="10"/>
                <w:szCs w:val="10"/>
                <w:color w:val="auto"/>
              </w:rPr>
              <w:t>(641)</w:t>
            </w:r>
          </w:p>
        </w:tc>
        <w:tc>
          <w:tcPr>
            <w:tcW w:w="380" w:type="dxa"/>
            <w:vAlign w:val="bottom"/>
          </w:tcPr>
          <w:p>
            <w:pPr>
              <w:spacing w:after="0"/>
              <w:rPr>
                <w:sz w:val="9"/>
                <w:szCs w:val="9"/>
                <w:color w:val="auto"/>
              </w:rPr>
            </w:pPr>
          </w:p>
        </w:tc>
        <w:tc>
          <w:tcPr>
            <w:tcW w:w="76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6,191</w:t>
            </w: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5280" w:type="dxa"/>
            <w:vAlign w:val="bottom"/>
          </w:tcPr>
          <w:p>
            <w:pPr>
              <w:ind w:left="700"/>
              <w:spacing w:after="0" w:line="88" w:lineRule="exact"/>
              <w:rPr>
                <w:sz w:val="20"/>
                <w:szCs w:val="20"/>
                <w:color w:val="auto"/>
              </w:rPr>
            </w:pPr>
            <w:r>
              <w:rPr>
                <w:rFonts w:ascii="Times New Roman" w:cs="Times New Roman" w:eastAsia="Times New Roman" w:hAnsi="Times New Roman"/>
                <w:sz w:val="10"/>
                <w:szCs w:val="10"/>
                <w:color w:val="auto"/>
              </w:rPr>
              <w:t>NET INTEREST INCOME AFTER PROVISION (CREDIT) FOR CREDIT LOSSES</w:t>
            </w:r>
          </w:p>
        </w:tc>
        <w:tc>
          <w:tcPr>
            <w:tcW w:w="680" w:type="dxa"/>
            <w:vAlign w:val="bottom"/>
            <w:tcBorders>
              <w:top w:val="single" w:sz="8" w:color="auto"/>
              <w:bottom w:val="single" w:sz="8" w:color="auto"/>
            </w:tcBorders>
          </w:tcPr>
          <w:p>
            <w:pPr>
              <w:spacing w:after="0"/>
              <w:rPr>
                <w:sz w:val="7"/>
                <w:szCs w:val="7"/>
                <w:color w:val="auto"/>
              </w:rPr>
            </w:pPr>
          </w:p>
        </w:tc>
        <w:tc>
          <w:tcPr>
            <w:tcW w:w="48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29,112</w:t>
            </w:r>
          </w:p>
        </w:tc>
        <w:tc>
          <w:tcPr>
            <w:tcW w:w="260" w:type="dxa"/>
            <w:vAlign w:val="bottom"/>
          </w:tcPr>
          <w:p>
            <w:pPr>
              <w:spacing w:after="0"/>
              <w:rPr>
                <w:sz w:val="7"/>
                <w:szCs w:val="7"/>
                <w:color w:val="auto"/>
              </w:rPr>
            </w:pPr>
          </w:p>
        </w:tc>
        <w:tc>
          <w:tcPr>
            <w:tcW w:w="380" w:type="dxa"/>
            <w:vAlign w:val="bottom"/>
            <w:tcBorders>
              <w:top w:val="single" w:sz="8" w:color="auto"/>
              <w:bottom w:val="single" w:sz="8" w:color="auto"/>
            </w:tcBorders>
          </w:tcPr>
          <w:p>
            <w:pPr>
              <w:spacing w:after="0"/>
              <w:rPr>
                <w:sz w:val="7"/>
                <w:szCs w:val="7"/>
                <w:color w:val="auto"/>
              </w:rPr>
            </w:pPr>
          </w:p>
        </w:tc>
        <w:tc>
          <w:tcPr>
            <w:tcW w:w="76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23,071</w:t>
            </w:r>
          </w:p>
        </w:tc>
        <w:tc>
          <w:tcPr>
            <w:tcW w:w="360" w:type="dxa"/>
            <w:vAlign w:val="bottom"/>
          </w:tcPr>
          <w:p>
            <w:pPr>
              <w:spacing w:after="0"/>
              <w:rPr>
                <w:sz w:val="7"/>
                <w:szCs w:val="7"/>
                <w:color w:val="auto"/>
              </w:rPr>
            </w:pPr>
          </w:p>
        </w:tc>
        <w:tc>
          <w:tcPr>
            <w:tcW w:w="260" w:type="dxa"/>
            <w:vAlign w:val="bottom"/>
            <w:tcBorders>
              <w:top w:val="single" w:sz="8" w:color="auto"/>
              <w:bottom w:val="single" w:sz="8" w:color="auto"/>
            </w:tcBorders>
          </w:tcPr>
          <w:p>
            <w:pPr>
              <w:spacing w:after="0"/>
              <w:rPr>
                <w:sz w:val="7"/>
                <w:szCs w:val="7"/>
                <w:color w:val="auto"/>
              </w:rPr>
            </w:pPr>
          </w:p>
        </w:tc>
        <w:tc>
          <w:tcPr>
            <w:tcW w:w="88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86,885</w:t>
            </w:r>
          </w:p>
        </w:tc>
        <w:tc>
          <w:tcPr>
            <w:tcW w:w="240" w:type="dxa"/>
            <w:vAlign w:val="bottom"/>
          </w:tcPr>
          <w:p>
            <w:pPr>
              <w:spacing w:after="0"/>
              <w:rPr>
                <w:sz w:val="7"/>
                <w:szCs w:val="7"/>
                <w:color w:val="auto"/>
              </w:rPr>
            </w:pPr>
          </w:p>
        </w:tc>
        <w:tc>
          <w:tcPr>
            <w:tcW w:w="380" w:type="dxa"/>
            <w:vAlign w:val="bottom"/>
            <w:tcBorders>
              <w:top w:val="single" w:sz="8" w:color="auto"/>
              <w:bottom w:val="single" w:sz="8" w:color="auto"/>
            </w:tcBorders>
          </w:tcPr>
          <w:p>
            <w:pPr>
              <w:spacing w:after="0"/>
              <w:rPr>
                <w:sz w:val="7"/>
                <w:szCs w:val="7"/>
                <w:color w:val="auto"/>
              </w:rPr>
            </w:pPr>
          </w:p>
        </w:tc>
        <w:tc>
          <w:tcPr>
            <w:tcW w:w="76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69,524</w:t>
            </w: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5280" w:type="dxa"/>
            <w:vAlign w:val="bottom"/>
          </w:tcPr>
          <w:p>
            <w:pPr>
              <w:ind w:left="560"/>
              <w:spacing w:after="0" w:line="74" w:lineRule="exact"/>
              <w:rPr>
                <w:sz w:val="20"/>
                <w:szCs w:val="20"/>
                <w:color w:val="auto"/>
              </w:rPr>
            </w:pPr>
            <w:r>
              <w:rPr>
                <w:rFonts w:ascii="Times New Roman" w:cs="Times New Roman" w:eastAsia="Times New Roman" w:hAnsi="Times New Roman"/>
                <w:sz w:val="8"/>
                <w:szCs w:val="8"/>
                <w:b w:val="1"/>
                <w:bCs w:val="1"/>
                <w:color w:val="auto"/>
              </w:rPr>
              <w:t>NONINTEREST INCOME</w:t>
            </w: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5280" w:type="dxa"/>
            <w:vAlign w:val="bottom"/>
          </w:tcPr>
          <w:p>
            <w:pPr>
              <w:ind w:left="640"/>
              <w:spacing w:after="0" w:line="99" w:lineRule="exact"/>
              <w:rPr>
                <w:sz w:val="20"/>
                <w:szCs w:val="20"/>
                <w:color w:val="auto"/>
              </w:rPr>
            </w:pPr>
            <w:r>
              <w:rPr>
                <w:rFonts w:ascii="Times New Roman" w:cs="Times New Roman" w:eastAsia="Times New Roman" w:hAnsi="Times New Roman"/>
                <w:sz w:val="10"/>
                <w:szCs w:val="10"/>
                <w:color w:val="auto"/>
              </w:rPr>
              <w:t>Service charges on deposit accounts</w:t>
            </w:r>
          </w:p>
        </w:tc>
        <w:tc>
          <w:tcPr>
            <w:tcW w:w="68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359</w:t>
            </w: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377</w:t>
            </w: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1,043</w:t>
            </w: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1,001</w:t>
            </w: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280" w:type="dxa"/>
            <w:vAlign w:val="bottom"/>
          </w:tcPr>
          <w:p>
            <w:pPr>
              <w:ind w:left="640"/>
              <w:spacing w:after="0" w:line="99" w:lineRule="exact"/>
              <w:rPr>
                <w:sz w:val="20"/>
                <w:szCs w:val="20"/>
                <w:color w:val="auto"/>
              </w:rPr>
            </w:pPr>
            <w:r>
              <w:rPr>
                <w:rFonts w:ascii="Times New Roman" w:cs="Times New Roman" w:eastAsia="Times New Roman" w:hAnsi="Times New Roman"/>
                <w:sz w:val="10"/>
                <w:szCs w:val="10"/>
                <w:color w:val="auto"/>
              </w:rPr>
              <w:t>Trust income</w:t>
            </w:r>
          </w:p>
        </w:tc>
        <w:tc>
          <w:tcPr>
            <w:tcW w:w="68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2,519</w:t>
            </w: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1,578</w:t>
            </w: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5,912</w:t>
            </w: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4,825</w:t>
            </w: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280" w:type="dxa"/>
            <w:vAlign w:val="bottom"/>
          </w:tcPr>
          <w:p>
            <w:pPr>
              <w:ind w:left="640"/>
              <w:spacing w:after="0" w:line="99" w:lineRule="exact"/>
              <w:rPr>
                <w:sz w:val="20"/>
                <w:szCs w:val="20"/>
                <w:color w:val="auto"/>
              </w:rPr>
            </w:pPr>
            <w:r>
              <w:rPr>
                <w:rFonts w:ascii="Times New Roman" w:cs="Times New Roman" w:eastAsia="Times New Roman" w:hAnsi="Times New Roman"/>
                <w:sz w:val="10"/>
                <w:szCs w:val="10"/>
                <w:color w:val="auto"/>
              </w:rPr>
              <w:t>Investment advisory income</w:t>
            </w:r>
          </w:p>
        </w:tc>
        <w:tc>
          <w:tcPr>
            <w:tcW w:w="68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1,461</w:t>
            </w: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1,957</w:t>
            </w: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4,555</w:t>
            </w: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5,547</w:t>
            </w: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280" w:type="dxa"/>
            <w:vAlign w:val="bottom"/>
          </w:tcPr>
          <w:p>
            <w:pPr>
              <w:ind w:left="640"/>
              <w:spacing w:after="0" w:line="99" w:lineRule="exact"/>
              <w:rPr>
                <w:sz w:val="20"/>
                <w:szCs w:val="20"/>
                <w:color w:val="auto"/>
              </w:rPr>
            </w:pPr>
            <w:r>
              <w:rPr>
                <w:rFonts w:ascii="Times New Roman" w:cs="Times New Roman" w:eastAsia="Times New Roman" w:hAnsi="Times New Roman"/>
                <w:sz w:val="10"/>
                <w:szCs w:val="10"/>
                <w:color w:val="auto"/>
              </w:rPr>
              <w:t>Investment securities gains (losses), net</w:t>
            </w:r>
          </w:p>
        </w:tc>
        <w:tc>
          <w:tcPr>
            <w:tcW w:w="680" w:type="dxa"/>
            <w:vAlign w:val="bottom"/>
          </w:tcPr>
          <w:p>
            <w:pPr>
              <w:spacing w:after="0"/>
              <w:rPr>
                <w:sz w:val="8"/>
                <w:szCs w:val="8"/>
                <w:color w:val="auto"/>
              </w:rPr>
            </w:pPr>
          </w:p>
        </w:tc>
        <w:tc>
          <w:tcPr>
            <w:tcW w:w="740" w:type="dxa"/>
            <w:vAlign w:val="bottom"/>
            <w:gridSpan w:val="2"/>
          </w:tcPr>
          <w:p>
            <w:pPr>
              <w:jc w:val="right"/>
              <w:ind w:right="300"/>
              <w:spacing w:after="0" w:line="99"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8"/>
                <w:szCs w:val="8"/>
                <w:color w:val="auto"/>
              </w:rPr>
            </w:pPr>
          </w:p>
        </w:tc>
        <w:tc>
          <w:tcPr>
            <w:tcW w:w="7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159</w:t>
            </w: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gridSpan w:val="2"/>
          </w:tcPr>
          <w:p>
            <w:pPr>
              <w:jc w:val="right"/>
              <w:ind w:right="280"/>
              <w:spacing w:after="0" w:line="99"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8"/>
                <w:szCs w:val="8"/>
                <w:color w:val="auto"/>
              </w:rPr>
            </w:pPr>
          </w:p>
        </w:tc>
        <w:tc>
          <w:tcPr>
            <w:tcW w:w="1340" w:type="dxa"/>
            <w:vAlign w:val="bottom"/>
            <w:gridSpan w:val="2"/>
          </w:tcPr>
          <w:p>
            <w:pPr>
              <w:jc w:val="right"/>
              <w:ind w:right="580"/>
              <w:spacing w:after="0" w:line="99" w:lineRule="exact"/>
              <w:rPr>
                <w:sz w:val="20"/>
                <w:szCs w:val="20"/>
                <w:color w:val="auto"/>
              </w:rPr>
            </w:pPr>
            <w:r>
              <w:rPr>
                <w:rFonts w:ascii="Times New Roman" w:cs="Times New Roman" w:eastAsia="Times New Roman" w:hAnsi="Times New Roman"/>
                <w:sz w:val="10"/>
                <w:szCs w:val="10"/>
                <w:color w:val="auto"/>
              </w:rPr>
              <w:t>(568)</w:t>
            </w:r>
          </w:p>
        </w:tc>
        <w:tc>
          <w:tcPr>
            <w:tcW w:w="0" w:type="dxa"/>
            <w:vAlign w:val="bottom"/>
          </w:tcPr>
          <w:p>
            <w:pPr>
              <w:spacing w:after="0"/>
              <w:rPr>
                <w:sz w:val="1"/>
                <w:szCs w:val="1"/>
                <w:color w:val="auto"/>
              </w:rPr>
            </w:pPr>
          </w:p>
        </w:tc>
      </w:tr>
      <w:tr>
        <w:trPr>
          <w:trHeight w:val="99"/>
        </w:trPr>
        <w:tc>
          <w:tcPr>
            <w:tcW w:w="5280" w:type="dxa"/>
            <w:vAlign w:val="bottom"/>
          </w:tcPr>
          <w:p>
            <w:pPr>
              <w:ind w:left="640"/>
              <w:spacing w:after="0" w:line="99" w:lineRule="exact"/>
              <w:rPr>
                <w:sz w:val="20"/>
                <w:szCs w:val="20"/>
                <w:color w:val="auto"/>
              </w:rPr>
            </w:pPr>
            <w:r>
              <w:rPr>
                <w:rFonts w:ascii="Times New Roman" w:cs="Times New Roman" w:eastAsia="Times New Roman" w:hAnsi="Times New Roman"/>
                <w:sz w:val="10"/>
                <w:szCs w:val="10"/>
                <w:color w:val="auto"/>
              </w:rPr>
              <w:t>Earnings on bank owned life insurance</w:t>
            </w:r>
          </w:p>
        </w:tc>
        <w:tc>
          <w:tcPr>
            <w:tcW w:w="68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197</w:t>
            </w: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190</w:t>
            </w: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584</w:t>
            </w: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683</w:t>
            </w: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280" w:type="dxa"/>
            <w:vAlign w:val="bottom"/>
          </w:tcPr>
          <w:p>
            <w:pPr>
              <w:ind w:left="640"/>
              <w:spacing w:after="0" w:line="99" w:lineRule="exact"/>
              <w:rPr>
                <w:sz w:val="20"/>
                <w:szCs w:val="20"/>
                <w:color w:val="auto"/>
              </w:rPr>
            </w:pPr>
            <w:r>
              <w:rPr>
                <w:rFonts w:ascii="Times New Roman" w:cs="Times New Roman" w:eastAsia="Times New Roman" w:hAnsi="Times New Roman"/>
                <w:sz w:val="10"/>
                <w:szCs w:val="10"/>
                <w:color w:val="auto"/>
              </w:rPr>
              <w:t>Proceeds from bank owned life insurance benefit</w:t>
            </w:r>
          </w:p>
        </w:tc>
        <w:tc>
          <w:tcPr>
            <w:tcW w:w="680" w:type="dxa"/>
            <w:vAlign w:val="bottom"/>
          </w:tcPr>
          <w:p>
            <w:pPr>
              <w:spacing w:after="0"/>
              <w:rPr>
                <w:sz w:val="8"/>
                <w:szCs w:val="8"/>
                <w:color w:val="auto"/>
              </w:rPr>
            </w:pPr>
          </w:p>
        </w:tc>
        <w:tc>
          <w:tcPr>
            <w:tcW w:w="740" w:type="dxa"/>
            <w:vAlign w:val="bottom"/>
            <w:gridSpan w:val="2"/>
          </w:tcPr>
          <w:p>
            <w:pPr>
              <w:jc w:val="right"/>
              <w:ind w:right="300"/>
              <w:spacing w:after="0" w:line="99"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8"/>
                <w:szCs w:val="8"/>
                <w:color w:val="auto"/>
              </w:rPr>
            </w:pPr>
          </w:p>
        </w:tc>
        <w:tc>
          <w:tcPr>
            <w:tcW w:w="7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1,191</w:t>
            </w: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gridSpan w:val="2"/>
          </w:tcPr>
          <w:p>
            <w:pPr>
              <w:jc w:val="right"/>
              <w:ind w:right="280"/>
              <w:spacing w:after="0" w:line="99"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8"/>
                <w:szCs w:val="8"/>
                <w:color w:val="auto"/>
              </w:rPr>
            </w:pPr>
          </w:p>
        </w:tc>
        <w:tc>
          <w:tcPr>
            <w:tcW w:w="7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3,590</w:t>
            </w: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280" w:type="dxa"/>
            <w:vAlign w:val="bottom"/>
          </w:tcPr>
          <w:p>
            <w:pPr>
              <w:ind w:left="640"/>
              <w:spacing w:after="0" w:line="99" w:lineRule="exact"/>
              <w:rPr>
                <w:sz w:val="20"/>
                <w:szCs w:val="20"/>
                <w:color w:val="auto"/>
              </w:rPr>
            </w:pPr>
            <w:r>
              <w:rPr>
                <w:rFonts w:ascii="Times New Roman" w:cs="Times New Roman" w:eastAsia="Times New Roman" w:hAnsi="Times New Roman"/>
                <w:sz w:val="10"/>
                <w:szCs w:val="10"/>
                <w:color w:val="auto"/>
              </w:rPr>
              <w:t>Gain on sale of assets</w:t>
            </w:r>
          </w:p>
        </w:tc>
        <w:tc>
          <w:tcPr>
            <w:tcW w:w="680" w:type="dxa"/>
            <w:vAlign w:val="bottom"/>
          </w:tcPr>
          <w:p>
            <w:pPr>
              <w:spacing w:after="0"/>
              <w:rPr>
                <w:sz w:val="8"/>
                <w:szCs w:val="8"/>
                <w:color w:val="auto"/>
              </w:rPr>
            </w:pPr>
          </w:p>
        </w:tc>
        <w:tc>
          <w:tcPr>
            <w:tcW w:w="740" w:type="dxa"/>
            <w:vAlign w:val="bottom"/>
            <w:gridSpan w:val="2"/>
          </w:tcPr>
          <w:p>
            <w:pPr>
              <w:jc w:val="right"/>
              <w:ind w:right="300"/>
              <w:spacing w:after="0" w:line="99"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8"/>
                <w:szCs w:val="8"/>
                <w:color w:val="auto"/>
              </w:rPr>
            </w:pPr>
          </w:p>
        </w:tc>
        <w:tc>
          <w:tcPr>
            <w:tcW w:w="1120" w:type="dxa"/>
            <w:vAlign w:val="bottom"/>
            <w:gridSpan w:val="2"/>
          </w:tcPr>
          <w:p>
            <w:pPr>
              <w:jc w:val="right"/>
              <w:ind w:right="380"/>
              <w:spacing w:after="0" w:line="99"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8"/>
                <w:szCs w:val="8"/>
                <w:color w:val="auto"/>
              </w:rPr>
            </w:pPr>
          </w:p>
        </w:tc>
        <w:tc>
          <w:tcPr>
            <w:tcW w:w="1120" w:type="dxa"/>
            <w:vAlign w:val="bottom"/>
            <w:gridSpan w:val="2"/>
          </w:tcPr>
          <w:p>
            <w:pPr>
              <w:jc w:val="right"/>
              <w:ind w:right="280"/>
              <w:spacing w:after="0" w:line="99"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8"/>
                <w:szCs w:val="8"/>
                <w:color w:val="auto"/>
              </w:rPr>
            </w:pPr>
          </w:p>
        </w:tc>
        <w:tc>
          <w:tcPr>
            <w:tcW w:w="7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1,236</w:t>
            </w: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280" w:type="dxa"/>
            <w:vAlign w:val="bottom"/>
          </w:tcPr>
          <w:p>
            <w:pPr>
              <w:ind w:left="640"/>
              <w:spacing w:after="0" w:line="99" w:lineRule="exact"/>
              <w:rPr>
                <w:sz w:val="20"/>
                <w:szCs w:val="20"/>
                <w:color w:val="auto"/>
              </w:rPr>
            </w:pPr>
            <w:r>
              <w:rPr>
                <w:rFonts w:ascii="Times New Roman" w:cs="Times New Roman" w:eastAsia="Times New Roman" w:hAnsi="Times New Roman"/>
                <w:sz w:val="10"/>
                <w:szCs w:val="10"/>
                <w:color w:val="auto"/>
              </w:rPr>
              <w:t>Valuation allowance on loans held-for-sale</w:t>
            </w:r>
          </w:p>
        </w:tc>
        <w:tc>
          <w:tcPr>
            <w:tcW w:w="68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281</w:t>
            </w: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20" w:type="dxa"/>
            <w:vAlign w:val="bottom"/>
            <w:gridSpan w:val="2"/>
          </w:tcPr>
          <w:p>
            <w:pPr>
              <w:jc w:val="right"/>
              <w:ind w:right="380"/>
              <w:spacing w:after="0" w:line="99"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8"/>
                <w:szCs w:val="8"/>
                <w:color w:val="auto"/>
              </w:rPr>
            </w:pPr>
          </w:p>
        </w:tc>
        <w:tc>
          <w:tcPr>
            <w:tcW w:w="112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10"/>
                <w:szCs w:val="10"/>
                <w:color w:val="auto"/>
              </w:rPr>
              <w:t>(4,480)</w:t>
            </w:r>
          </w:p>
        </w:tc>
        <w:tc>
          <w:tcPr>
            <w:tcW w:w="380" w:type="dxa"/>
            <w:vAlign w:val="bottom"/>
          </w:tcPr>
          <w:p>
            <w:pPr>
              <w:spacing w:after="0"/>
              <w:rPr>
                <w:sz w:val="8"/>
                <w:szCs w:val="8"/>
                <w:color w:val="auto"/>
              </w:rPr>
            </w:pPr>
          </w:p>
        </w:tc>
        <w:tc>
          <w:tcPr>
            <w:tcW w:w="1340" w:type="dxa"/>
            <w:vAlign w:val="bottom"/>
            <w:gridSpan w:val="2"/>
          </w:tcPr>
          <w:p>
            <w:pPr>
              <w:jc w:val="right"/>
              <w:ind w:right="600"/>
              <w:spacing w:after="0" w:line="99"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5280" w:type="dxa"/>
            <w:vAlign w:val="bottom"/>
          </w:tcPr>
          <w:p>
            <w:pPr>
              <w:ind w:left="640"/>
              <w:spacing w:after="0" w:line="114" w:lineRule="exact"/>
              <w:rPr>
                <w:sz w:val="20"/>
                <w:szCs w:val="20"/>
                <w:color w:val="auto"/>
              </w:rPr>
            </w:pPr>
            <w:r>
              <w:rPr>
                <w:rFonts w:ascii="Times New Roman" w:cs="Times New Roman" w:eastAsia="Times New Roman" w:hAnsi="Times New Roman"/>
                <w:sz w:val="10"/>
                <w:szCs w:val="10"/>
                <w:color w:val="auto"/>
              </w:rPr>
              <w:t>Other</w:t>
            </w:r>
          </w:p>
        </w:tc>
        <w:tc>
          <w:tcPr>
            <w:tcW w:w="6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557</w:t>
            </w:r>
          </w:p>
        </w:tc>
        <w:tc>
          <w:tcPr>
            <w:tcW w:w="26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1,335</w:t>
            </w:r>
          </w:p>
        </w:tc>
        <w:tc>
          <w:tcPr>
            <w:tcW w:w="3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1,330</w:t>
            </w:r>
          </w:p>
        </w:tc>
        <w:tc>
          <w:tcPr>
            <w:tcW w:w="24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2,146</w:t>
            </w: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5280" w:type="dxa"/>
            <w:vAlign w:val="bottom"/>
          </w:tcPr>
          <w:p>
            <w:pPr>
              <w:ind w:left="700"/>
              <w:spacing w:after="0" w:line="88" w:lineRule="exact"/>
              <w:rPr>
                <w:sz w:val="20"/>
                <w:szCs w:val="20"/>
                <w:color w:val="auto"/>
              </w:rPr>
            </w:pPr>
            <w:r>
              <w:rPr>
                <w:rFonts w:ascii="Times New Roman" w:cs="Times New Roman" w:eastAsia="Times New Roman" w:hAnsi="Times New Roman"/>
                <w:sz w:val="10"/>
                <w:szCs w:val="10"/>
                <w:color w:val="auto"/>
              </w:rPr>
              <w:t>TOTAL NONINTEREST INCOME</w:t>
            </w:r>
          </w:p>
        </w:tc>
        <w:tc>
          <w:tcPr>
            <w:tcW w:w="6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5,374</w:t>
            </w:r>
          </w:p>
        </w:tc>
        <w:tc>
          <w:tcPr>
            <w:tcW w:w="26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6,787</w:t>
            </w:r>
          </w:p>
        </w:tc>
        <w:tc>
          <w:tcPr>
            <w:tcW w:w="36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8,944</w:t>
            </w:r>
          </w:p>
        </w:tc>
        <w:tc>
          <w:tcPr>
            <w:tcW w:w="24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18,460</w:t>
            </w: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5280" w:type="dxa"/>
            <w:vAlign w:val="bottom"/>
          </w:tcPr>
          <w:p>
            <w:pPr>
              <w:ind w:left="560"/>
              <w:spacing w:after="0" w:line="74" w:lineRule="exact"/>
              <w:rPr>
                <w:sz w:val="20"/>
                <w:szCs w:val="20"/>
                <w:color w:val="auto"/>
              </w:rPr>
            </w:pPr>
            <w:r>
              <w:rPr>
                <w:rFonts w:ascii="Times New Roman" w:cs="Times New Roman" w:eastAsia="Times New Roman" w:hAnsi="Times New Roman"/>
                <w:sz w:val="8"/>
                <w:szCs w:val="8"/>
                <w:b w:val="1"/>
                <w:bCs w:val="1"/>
                <w:color w:val="auto"/>
              </w:rPr>
              <w:t>NONINTEREST EXPENSE</w:t>
            </w: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5280" w:type="dxa"/>
            <w:vAlign w:val="bottom"/>
          </w:tcPr>
          <w:p>
            <w:pPr>
              <w:ind w:left="640"/>
              <w:spacing w:after="0" w:line="99" w:lineRule="exact"/>
              <w:rPr>
                <w:sz w:val="20"/>
                <w:szCs w:val="20"/>
                <w:color w:val="auto"/>
              </w:rPr>
            </w:pPr>
            <w:r>
              <w:rPr>
                <w:rFonts w:ascii="Times New Roman" w:cs="Times New Roman" w:eastAsia="Times New Roman" w:hAnsi="Times New Roman"/>
                <w:sz w:val="10"/>
                <w:szCs w:val="10"/>
                <w:color w:val="auto"/>
              </w:rPr>
              <w:t>Salaries</w:t>
            </w:r>
          </w:p>
        </w:tc>
        <w:tc>
          <w:tcPr>
            <w:tcW w:w="68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7,003</w:t>
            </w: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7,378</w:t>
            </w: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21,924</w:t>
            </w: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21,096</w:t>
            </w: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280" w:type="dxa"/>
            <w:vAlign w:val="bottom"/>
          </w:tcPr>
          <w:p>
            <w:pPr>
              <w:ind w:left="640"/>
              <w:spacing w:after="0" w:line="99" w:lineRule="exact"/>
              <w:rPr>
                <w:sz w:val="20"/>
                <w:szCs w:val="20"/>
                <w:color w:val="auto"/>
              </w:rPr>
            </w:pPr>
            <w:r>
              <w:rPr>
                <w:rFonts w:ascii="Times New Roman" w:cs="Times New Roman" w:eastAsia="Times New Roman" w:hAnsi="Times New Roman"/>
                <w:sz w:val="10"/>
                <w:szCs w:val="10"/>
                <w:color w:val="auto"/>
              </w:rPr>
              <w:t>Employee benefits</w:t>
            </w:r>
          </w:p>
        </w:tc>
        <w:tc>
          <w:tcPr>
            <w:tcW w:w="68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2,490</w:t>
            </w: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2,419</w:t>
            </w: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8,597</w:t>
            </w: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7,207</w:t>
            </w: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280" w:type="dxa"/>
            <w:vAlign w:val="bottom"/>
          </w:tcPr>
          <w:p>
            <w:pPr>
              <w:ind w:left="640"/>
              <w:spacing w:after="0" w:line="99" w:lineRule="exact"/>
              <w:rPr>
                <w:sz w:val="20"/>
                <w:szCs w:val="20"/>
                <w:color w:val="auto"/>
              </w:rPr>
            </w:pPr>
            <w:r>
              <w:rPr>
                <w:rFonts w:ascii="Times New Roman" w:cs="Times New Roman" w:eastAsia="Times New Roman" w:hAnsi="Times New Roman"/>
                <w:sz w:val="10"/>
                <w:szCs w:val="10"/>
                <w:color w:val="auto"/>
              </w:rPr>
              <w:t>Occupancy expense</w:t>
            </w:r>
          </w:p>
        </w:tc>
        <w:tc>
          <w:tcPr>
            <w:tcW w:w="68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1,254</w:t>
            </w: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1,280</w:t>
            </w: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3,841</w:t>
            </w: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3,856</w:t>
            </w: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280" w:type="dxa"/>
            <w:vAlign w:val="bottom"/>
          </w:tcPr>
          <w:p>
            <w:pPr>
              <w:ind w:left="640"/>
              <w:spacing w:after="0" w:line="99" w:lineRule="exact"/>
              <w:rPr>
                <w:sz w:val="20"/>
                <w:szCs w:val="20"/>
                <w:color w:val="auto"/>
              </w:rPr>
            </w:pPr>
            <w:r>
              <w:rPr>
                <w:rFonts w:ascii="Times New Roman" w:cs="Times New Roman" w:eastAsia="Times New Roman" w:hAnsi="Times New Roman"/>
                <w:sz w:val="10"/>
                <w:szCs w:val="10"/>
                <w:color w:val="auto"/>
              </w:rPr>
              <w:t>Professional fees</w:t>
            </w:r>
          </w:p>
        </w:tc>
        <w:tc>
          <w:tcPr>
            <w:tcW w:w="68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1,608</w:t>
            </w: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1,380</w:t>
            </w: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4,934</w:t>
            </w: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4,393</w:t>
            </w: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280" w:type="dxa"/>
            <w:vAlign w:val="bottom"/>
          </w:tcPr>
          <w:p>
            <w:pPr>
              <w:ind w:left="640"/>
              <w:spacing w:after="0" w:line="99" w:lineRule="exact"/>
              <w:rPr>
                <w:sz w:val="20"/>
                <w:szCs w:val="20"/>
                <w:color w:val="auto"/>
              </w:rPr>
            </w:pPr>
            <w:r>
              <w:rPr>
                <w:rFonts w:ascii="Times New Roman" w:cs="Times New Roman" w:eastAsia="Times New Roman" w:hAnsi="Times New Roman"/>
                <w:sz w:val="10"/>
                <w:szCs w:val="10"/>
                <w:color w:val="auto"/>
              </w:rPr>
              <w:t>Directors’ fees and expenses</w:t>
            </w:r>
          </w:p>
        </w:tc>
        <w:tc>
          <w:tcPr>
            <w:tcW w:w="68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536</w:t>
            </w: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314</w:t>
            </w: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1,693</w:t>
            </w: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939</w:t>
            </w: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280" w:type="dxa"/>
            <w:vAlign w:val="bottom"/>
          </w:tcPr>
          <w:p>
            <w:pPr>
              <w:ind w:left="640"/>
              <w:spacing w:after="0" w:line="99" w:lineRule="exact"/>
              <w:rPr>
                <w:sz w:val="20"/>
                <w:szCs w:val="20"/>
                <w:color w:val="auto"/>
              </w:rPr>
            </w:pPr>
            <w:r>
              <w:rPr>
                <w:rFonts w:ascii="Times New Roman" w:cs="Times New Roman" w:eastAsia="Times New Roman" w:hAnsi="Times New Roman"/>
                <w:sz w:val="10"/>
                <w:szCs w:val="10"/>
                <w:color w:val="auto"/>
              </w:rPr>
              <w:t>Computer software expense</w:t>
            </w:r>
          </w:p>
        </w:tc>
        <w:tc>
          <w:tcPr>
            <w:tcW w:w="68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1,998</w:t>
            </w: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1,785</w:t>
            </w: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5,836</w:t>
            </w: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5,884</w:t>
            </w: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280" w:type="dxa"/>
            <w:vAlign w:val="bottom"/>
          </w:tcPr>
          <w:p>
            <w:pPr>
              <w:ind w:left="640"/>
              <w:spacing w:after="0" w:line="99" w:lineRule="exact"/>
              <w:rPr>
                <w:sz w:val="20"/>
                <w:szCs w:val="20"/>
                <w:color w:val="auto"/>
              </w:rPr>
            </w:pPr>
            <w:r>
              <w:rPr>
                <w:rFonts w:ascii="Times New Roman" w:cs="Times New Roman" w:eastAsia="Times New Roman" w:hAnsi="Times New Roman"/>
                <w:sz w:val="10"/>
                <w:szCs w:val="10"/>
                <w:color w:val="auto"/>
              </w:rPr>
              <w:t>FDIC assessment</w:t>
            </w:r>
          </w:p>
        </w:tc>
        <w:tc>
          <w:tcPr>
            <w:tcW w:w="68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210</w:t>
            </w: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330</w:t>
            </w: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700</w:t>
            </w: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990</w:t>
            </w: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280" w:type="dxa"/>
            <w:vAlign w:val="bottom"/>
          </w:tcPr>
          <w:p>
            <w:pPr>
              <w:ind w:left="640"/>
              <w:spacing w:after="0" w:line="99" w:lineRule="exact"/>
              <w:rPr>
                <w:sz w:val="20"/>
                <w:szCs w:val="20"/>
                <w:color w:val="auto"/>
              </w:rPr>
            </w:pPr>
            <w:r>
              <w:rPr>
                <w:rFonts w:ascii="Times New Roman" w:cs="Times New Roman" w:eastAsia="Times New Roman" w:hAnsi="Times New Roman"/>
                <w:sz w:val="10"/>
                <w:szCs w:val="10"/>
                <w:color w:val="auto"/>
              </w:rPr>
              <w:t>Advertising expenses</w:t>
            </w:r>
          </w:p>
        </w:tc>
        <w:tc>
          <w:tcPr>
            <w:tcW w:w="68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486</w:t>
            </w: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481</w:t>
            </w: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1,407</w:t>
            </w: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1,351</w:t>
            </w: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280" w:type="dxa"/>
            <w:vAlign w:val="bottom"/>
          </w:tcPr>
          <w:p>
            <w:pPr>
              <w:ind w:left="640"/>
              <w:spacing w:after="0" w:line="99" w:lineRule="exact"/>
              <w:rPr>
                <w:sz w:val="20"/>
                <w:szCs w:val="20"/>
                <w:color w:val="auto"/>
              </w:rPr>
            </w:pPr>
            <w:r>
              <w:rPr>
                <w:rFonts w:ascii="Times New Roman" w:cs="Times New Roman" w:eastAsia="Times New Roman" w:hAnsi="Times New Roman"/>
                <w:sz w:val="10"/>
                <w:szCs w:val="10"/>
                <w:color w:val="auto"/>
              </w:rPr>
              <w:t>Advisor expenses related to trust income</w:t>
            </w:r>
          </w:p>
        </w:tc>
        <w:tc>
          <w:tcPr>
            <w:tcW w:w="68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30</w:t>
            </w: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22</w:t>
            </w: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80</w:t>
            </w: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66</w:t>
            </w: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280" w:type="dxa"/>
            <w:vAlign w:val="bottom"/>
          </w:tcPr>
          <w:p>
            <w:pPr>
              <w:ind w:left="640"/>
              <w:spacing w:after="0" w:line="99" w:lineRule="exact"/>
              <w:rPr>
                <w:sz w:val="20"/>
                <w:szCs w:val="20"/>
                <w:color w:val="auto"/>
              </w:rPr>
            </w:pPr>
            <w:r>
              <w:rPr>
                <w:rFonts w:ascii="Times New Roman" w:cs="Times New Roman" w:eastAsia="Times New Roman" w:hAnsi="Times New Roman"/>
                <w:sz w:val="10"/>
                <w:szCs w:val="10"/>
                <w:color w:val="auto"/>
              </w:rPr>
              <w:t>Telephone expenses</w:t>
            </w:r>
          </w:p>
        </w:tc>
        <w:tc>
          <w:tcPr>
            <w:tcW w:w="68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243</w:t>
            </w: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220</w:t>
            </w: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781</w:t>
            </w: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630</w:t>
            </w: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280" w:type="dxa"/>
            <w:vAlign w:val="bottom"/>
          </w:tcPr>
          <w:p>
            <w:pPr>
              <w:ind w:left="640"/>
              <w:spacing w:after="0" w:line="99" w:lineRule="exact"/>
              <w:rPr>
                <w:sz w:val="20"/>
                <w:szCs w:val="20"/>
                <w:color w:val="auto"/>
              </w:rPr>
            </w:pPr>
            <w:r>
              <w:rPr>
                <w:rFonts w:ascii="Times New Roman" w:cs="Times New Roman" w:eastAsia="Times New Roman" w:hAnsi="Times New Roman"/>
                <w:sz w:val="10"/>
                <w:szCs w:val="10"/>
                <w:color w:val="auto"/>
              </w:rPr>
              <w:t>Intangible amortization</w:t>
            </w:r>
          </w:p>
        </w:tc>
        <w:tc>
          <w:tcPr>
            <w:tcW w:w="68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71</w:t>
            </w: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71</w:t>
            </w: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214</w:t>
            </w: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214</w:t>
            </w: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5280" w:type="dxa"/>
            <w:vAlign w:val="bottom"/>
          </w:tcPr>
          <w:p>
            <w:pPr>
              <w:ind w:left="640"/>
              <w:spacing w:after="0" w:line="114" w:lineRule="exact"/>
              <w:rPr>
                <w:sz w:val="20"/>
                <w:szCs w:val="20"/>
                <w:color w:val="auto"/>
              </w:rPr>
            </w:pPr>
            <w:r>
              <w:rPr>
                <w:rFonts w:ascii="Times New Roman" w:cs="Times New Roman" w:eastAsia="Times New Roman" w:hAnsi="Times New Roman"/>
                <w:sz w:val="10"/>
                <w:szCs w:val="10"/>
                <w:color w:val="auto"/>
              </w:rPr>
              <w:t>Other</w:t>
            </w:r>
          </w:p>
        </w:tc>
        <w:tc>
          <w:tcPr>
            <w:tcW w:w="6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1,302</w:t>
            </w:r>
          </w:p>
        </w:tc>
        <w:tc>
          <w:tcPr>
            <w:tcW w:w="26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1,160</w:t>
            </w:r>
          </w:p>
        </w:tc>
        <w:tc>
          <w:tcPr>
            <w:tcW w:w="3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2,417</w:t>
            </w:r>
          </w:p>
        </w:tc>
        <w:tc>
          <w:tcPr>
            <w:tcW w:w="24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3,463</w:t>
            </w: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5280" w:type="dxa"/>
            <w:vAlign w:val="bottom"/>
          </w:tcPr>
          <w:p>
            <w:pPr>
              <w:ind w:left="700"/>
              <w:spacing w:after="0" w:line="88" w:lineRule="exact"/>
              <w:rPr>
                <w:sz w:val="20"/>
                <w:szCs w:val="20"/>
                <w:color w:val="auto"/>
              </w:rPr>
            </w:pPr>
            <w:r>
              <w:rPr>
                <w:rFonts w:ascii="Times New Roman" w:cs="Times New Roman" w:eastAsia="Times New Roman" w:hAnsi="Times New Roman"/>
                <w:sz w:val="10"/>
                <w:szCs w:val="10"/>
                <w:color w:val="auto"/>
              </w:rPr>
              <w:t>TOTAL NONINTEREST EXPENSE</w:t>
            </w:r>
          </w:p>
        </w:tc>
        <w:tc>
          <w:tcPr>
            <w:tcW w:w="6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17,231</w:t>
            </w:r>
          </w:p>
        </w:tc>
        <w:tc>
          <w:tcPr>
            <w:tcW w:w="26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16,840</w:t>
            </w:r>
          </w:p>
        </w:tc>
        <w:tc>
          <w:tcPr>
            <w:tcW w:w="36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52,424</w:t>
            </w:r>
          </w:p>
        </w:tc>
        <w:tc>
          <w:tcPr>
            <w:tcW w:w="24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50,089</w:t>
            </w: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5280" w:type="dxa"/>
            <w:vAlign w:val="bottom"/>
          </w:tcPr>
          <w:p>
            <w:pPr>
              <w:ind w:left="640"/>
              <w:spacing w:after="0" w:line="74" w:lineRule="exact"/>
              <w:rPr>
                <w:sz w:val="20"/>
                <w:szCs w:val="20"/>
                <w:color w:val="auto"/>
              </w:rPr>
            </w:pPr>
            <w:r>
              <w:rPr>
                <w:rFonts w:ascii="Times New Roman" w:cs="Times New Roman" w:eastAsia="Times New Roman" w:hAnsi="Times New Roman"/>
                <w:sz w:val="8"/>
                <w:szCs w:val="8"/>
                <w:color w:val="auto"/>
              </w:rPr>
              <w:t>Income before income taxes</w:t>
            </w:r>
          </w:p>
        </w:tc>
        <w:tc>
          <w:tcPr>
            <w:tcW w:w="680" w:type="dxa"/>
            <w:vAlign w:val="bottom"/>
          </w:tcPr>
          <w:p>
            <w:pPr>
              <w:spacing w:after="0"/>
              <w:rPr>
                <w:sz w:val="6"/>
                <w:szCs w:val="6"/>
                <w:color w:val="auto"/>
              </w:rPr>
            </w:pPr>
          </w:p>
        </w:tc>
        <w:tc>
          <w:tcPr>
            <w:tcW w:w="480" w:type="dxa"/>
            <w:vAlign w:val="bottom"/>
          </w:tcPr>
          <w:p>
            <w:pPr>
              <w:jc w:val="right"/>
              <w:spacing w:after="0" w:line="74" w:lineRule="exact"/>
              <w:rPr>
                <w:sz w:val="20"/>
                <w:szCs w:val="20"/>
                <w:color w:val="auto"/>
              </w:rPr>
            </w:pPr>
            <w:r>
              <w:rPr>
                <w:rFonts w:ascii="Times New Roman" w:cs="Times New Roman" w:eastAsia="Times New Roman" w:hAnsi="Times New Roman"/>
                <w:sz w:val="8"/>
                <w:szCs w:val="8"/>
                <w:color w:val="auto"/>
              </w:rPr>
              <w:t>17,255</w:t>
            </w:r>
          </w:p>
        </w:tc>
        <w:tc>
          <w:tcPr>
            <w:tcW w:w="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jc w:val="right"/>
              <w:spacing w:after="0" w:line="74" w:lineRule="exact"/>
              <w:rPr>
                <w:sz w:val="20"/>
                <w:szCs w:val="20"/>
                <w:color w:val="auto"/>
              </w:rPr>
            </w:pPr>
            <w:r>
              <w:rPr>
                <w:rFonts w:ascii="Times New Roman" w:cs="Times New Roman" w:eastAsia="Times New Roman" w:hAnsi="Times New Roman"/>
                <w:sz w:val="8"/>
                <w:szCs w:val="8"/>
                <w:color w:val="auto"/>
              </w:rPr>
              <w:t>13,018</w:t>
            </w:r>
          </w:p>
        </w:tc>
        <w:tc>
          <w:tcPr>
            <w:tcW w:w="3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jc w:val="right"/>
              <w:spacing w:after="0" w:line="74" w:lineRule="exact"/>
              <w:rPr>
                <w:sz w:val="20"/>
                <w:szCs w:val="20"/>
                <w:color w:val="auto"/>
              </w:rPr>
            </w:pPr>
            <w:r>
              <w:rPr>
                <w:rFonts w:ascii="Times New Roman" w:cs="Times New Roman" w:eastAsia="Times New Roman" w:hAnsi="Times New Roman"/>
                <w:sz w:val="8"/>
                <w:szCs w:val="8"/>
                <w:color w:val="auto"/>
              </w:rPr>
              <w:t>43,405</w:t>
            </w:r>
          </w:p>
        </w:tc>
        <w:tc>
          <w:tcPr>
            <w:tcW w:w="2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jc w:val="right"/>
              <w:spacing w:after="0" w:line="74" w:lineRule="exact"/>
              <w:rPr>
                <w:sz w:val="20"/>
                <w:szCs w:val="20"/>
                <w:color w:val="auto"/>
              </w:rPr>
            </w:pPr>
            <w:r>
              <w:rPr>
                <w:rFonts w:ascii="Times New Roman" w:cs="Times New Roman" w:eastAsia="Times New Roman" w:hAnsi="Times New Roman"/>
                <w:sz w:val="8"/>
                <w:szCs w:val="8"/>
                <w:color w:val="auto"/>
              </w:rPr>
              <w:t>37,895</w:t>
            </w: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5280" w:type="dxa"/>
            <w:vAlign w:val="bottom"/>
          </w:tcPr>
          <w:p>
            <w:pPr>
              <w:ind w:left="560"/>
              <w:spacing w:after="0" w:line="114" w:lineRule="exact"/>
              <w:rPr>
                <w:sz w:val="20"/>
                <w:szCs w:val="20"/>
                <w:color w:val="auto"/>
              </w:rPr>
            </w:pPr>
            <w:r>
              <w:rPr>
                <w:rFonts w:ascii="Times New Roman" w:cs="Times New Roman" w:eastAsia="Times New Roman" w:hAnsi="Times New Roman"/>
                <w:sz w:val="10"/>
                <w:szCs w:val="10"/>
                <w:color w:val="auto"/>
              </w:rPr>
              <w:t>Provision for income taxes</w:t>
            </w:r>
          </w:p>
        </w:tc>
        <w:tc>
          <w:tcPr>
            <w:tcW w:w="6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4,769</w:t>
            </w:r>
          </w:p>
        </w:tc>
        <w:tc>
          <w:tcPr>
            <w:tcW w:w="26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2,999</w:t>
            </w:r>
          </w:p>
        </w:tc>
        <w:tc>
          <w:tcPr>
            <w:tcW w:w="3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5,976</w:t>
            </w:r>
          </w:p>
        </w:tc>
        <w:tc>
          <w:tcPr>
            <w:tcW w:w="24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8,711</w:t>
            </w: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5280" w:type="dxa"/>
            <w:vAlign w:val="bottom"/>
          </w:tcPr>
          <w:p>
            <w:pPr>
              <w:ind w:left="700"/>
              <w:spacing w:after="0" w:line="88" w:lineRule="exact"/>
              <w:rPr>
                <w:sz w:val="20"/>
                <w:szCs w:val="20"/>
                <w:color w:val="auto"/>
              </w:rPr>
            </w:pPr>
            <w:r>
              <w:rPr>
                <w:rFonts w:ascii="Times New Roman" w:cs="Times New Roman" w:eastAsia="Times New Roman" w:hAnsi="Times New Roman"/>
                <w:sz w:val="10"/>
                <w:szCs w:val="10"/>
                <w:color w:val="auto"/>
              </w:rPr>
              <w:t>NET INCOME</w:t>
            </w:r>
          </w:p>
        </w:tc>
        <w:tc>
          <w:tcPr>
            <w:tcW w:w="6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12,486</w:t>
            </w:r>
          </w:p>
        </w:tc>
        <w:tc>
          <w:tcPr>
            <w:tcW w:w="260" w:type="dxa"/>
            <w:vAlign w:val="bottom"/>
          </w:tcPr>
          <w:p>
            <w:pPr>
              <w:spacing w:after="0"/>
              <w:rPr>
                <w:sz w:val="8"/>
                <w:szCs w:val="8"/>
                <w:color w:val="auto"/>
              </w:rPr>
            </w:pPr>
          </w:p>
        </w:tc>
        <w:tc>
          <w:tcPr>
            <w:tcW w:w="3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10,019</w:t>
            </w:r>
          </w:p>
        </w:tc>
        <w:tc>
          <w:tcPr>
            <w:tcW w:w="360" w:type="dxa"/>
            <w:vAlign w:val="bottom"/>
          </w:tcPr>
          <w:p>
            <w:pPr>
              <w:spacing w:after="0"/>
              <w:rPr>
                <w:sz w:val="8"/>
                <w:szCs w:val="8"/>
                <w:color w:val="auto"/>
              </w:rPr>
            </w:pPr>
          </w:p>
        </w:tc>
        <w:tc>
          <w:tcPr>
            <w:tcW w:w="2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88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37,429</w:t>
            </w:r>
          </w:p>
        </w:tc>
        <w:tc>
          <w:tcPr>
            <w:tcW w:w="240" w:type="dxa"/>
            <w:vAlign w:val="bottom"/>
          </w:tcPr>
          <w:p>
            <w:pPr>
              <w:spacing w:after="0"/>
              <w:rPr>
                <w:sz w:val="8"/>
                <w:szCs w:val="8"/>
                <w:color w:val="auto"/>
              </w:rPr>
            </w:pPr>
          </w:p>
        </w:tc>
        <w:tc>
          <w:tcPr>
            <w:tcW w:w="380" w:type="dxa"/>
            <w:vAlign w:val="bottom"/>
            <w:tcBorders>
              <w:bottom w:val="single" w:sz="8" w:color="auto"/>
            </w:tcBorders>
          </w:tcPr>
          <w:p>
            <w:pPr>
              <w:jc w:val="right"/>
              <w:ind w:right="272"/>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29,184</w:t>
            </w: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528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Basic and diluted earnings per share</w:t>
            </w:r>
          </w:p>
        </w:tc>
        <w:tc>
          <w:tcPr>
            <w:tcW w:w="680" w:type="dxa"/>
            <w:vAlign w:val="bottom"/>
          </w:tcPr>
          <w:p>
            <w:pPr>
              <w:jc w:val="right"/>
              <w:ind w:right="610"/>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0.93</w:t>
            </w:r>
          </w:p>
        </w:tc>
        <w:tc>
          <w:tcPr>
            <w:tcW w:w="260" w:type="dxa"/>
            <w:vAlign w:val="bottom"/>
          </w:tcPr>
          <w:p>
            <w:pPr>
              <w:spacing w:after="0"/>
              <w:rPr>
                <w:sz w:val="15"/>
                <w:szCs w:val="15"/>
                <w:color w:val="auto"/>
              </w:rPr>
            </w:pPr>
          </w:p>
        </w:tc>
        <w:tc>
          <w:tcPr>
            <w:tcW w:w="380" w:type="dxa"/>
            <w:vAlign w:val="bottom"/>
          </w:tcPr>
          <w:p>
            <w:pPr>
              <w:jc w:val="right"/>
              <w:ind w:right="316"/>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0.75</w:t>
            </w:r>
          </w:p>
        </w:tc>
        <w:tc>
          <w:tcPr>
            <w:tcW w:w="360" w:type="dxa"/>
            <w:vAlign w:val="bottom"/>
          </w:tcPr>
          <w:p>
            <w:pPr>
              <w:spacing w:after="0"/>
              <w:rPr>
                <w:sz w:val="15"/>
                <w:szCs w:val="15"/>
                <w:color w:val="auto"/>
              </w:rPr>
            </w:pPr>
          </w:p>
        </w:tc>
        <w:tc>
          <w:tcPr>
            <w:tcW w:w="260" w:type="dxa"/>
            <w:vAlign w:val="bottom"/>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2.80</w:t>
            </w:r>
          </w:p>
        </w:tc>
        <w:tc>
          <w:tcPr>
            <w:tcW w:w="240" w:type="dxa"/>
            <w:vAlign w:val="bottom"/>
          </w:tcPr>
          <w:p>
            <w:pPr>
              <w:spacing w:after="0"/>
              <w:rPr>
                <w:sz w:val="15"/>
                <w:szCs w:val="15"/>
                <w:color w:val="auto"/>
              </w:rPr>
            </w:pPr>
          </w:p>
        </w:tc>
        <w:tc>
          <w:tcPr>
            <w:tcW w:w="38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2.39</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528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Weighted average shares outstanding</w:t>
            </w:r>
          </w:p>
        </w:tc>
        <w:tc>
          <w:tcPr>
            <w:tcW w:w="68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3"/>
              </w:rPr>
              <w:t>13,383,550</w:t>
            </w: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13,337,890</w:t>
            </w: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13,372,387</w:t>
            </w: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12,228,878</w:t>
            </w: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5280" w:type="dxa"/>
            <w:vAlign w:val="bottom"/>
            <w:tcBorders>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48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1" w:name="page12"/>
    <w:bookmarkEnd w:id="11"/>
    <w:p>
      <w:pPr>
        <w:jc w:val="center"/>
        <w:ind w:right="-341"/>
        <w:spacing w:after="0"/>
        <w:rPr>
          <w:sz w:val="20"/>
          <w:szCs w:val="20"/>
          <w:color w:val="auto"/>
        </w:rPr>
      </w:pPr>
      <w:r>
        <w:rPr>
          <w:rFonts w:ascii="Times New Roman" w:cs="Times New Roman" w:eastAsia="Times New Roman" w:hAnsi="Times New Roman"/>
          <w:sz w:val="12"/>
          <w:szCs w:val="12"/>
          <w:b w:val="1"/>
          <w:bCs w:val="1"/>
          <w:color w:val="auto"/>
        </w:rPr>
        <w:t>ORANGE COUNTY BANCORP, INC.</w:t>
      </w:r>
    </w:p>
    <w:p>
      <w:pPr>
        <w:spacing w:after="0" w:line="21" w:lineRule="exact"/>
        <w:rPr>
          <w:sz w:val="20"/>
          <w:szCs w:val="20"/>
          <w:color w:val="auto"/>
        </w:rPr>
      </w:pPr>
    </w:p>
    <w:p>
      <w:pPr>
        <w:jc w:val="center"/>
        <w:ind w:right="-341"/>
        <w:spacing w:after="0"/>
        <w:rPr>
          <w:sz w:val="20"/>
          <w:szCs w:val="20"/>
          <w:color w:val="auto"/>
        </w:rPr>
      </w:pPr>
      <w:r>
        <w:rPr>
          <w:rFonts w:ascii="Times New Roman" w:cs="Times New Roman" w:eastAsia="Times New Roman" w:hAnsi="Times New Roman"/>
          <w:sz w:val="12"/>
          <w:szCs w:val="12"/>
          <w:b w:val="1"/>
          <w:bCs w:val="1"/>
          <w:color w:val="auto"/>
        </w:rPr>
        <w:t>NET INTEREST MARGIN ANALYSIS</w:t>
      </w:r>
    </w:p>
    <w:p>
      <w:pPr>
        <w:spacing w:after="0" w:line="6" w:lineRule="exact"/>
        <w:rPr>
          <w:sz w:val="20"/>
          <w:szCs w:val="20"/>
          <w:color w:val="auto"/>
        </w:rPr>
      </w:pPr>
    </w:p>
    <w:p>
      <w:pPr>
        <w:jc w:val="center"/>
        <w:ind w:right="-341"/>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6" w:lineRule="exact"/>
        <w:rPr>
          <w:sz w:val="20"/>
          <w:szCs w:val="20"/>
          <w:color w:val="auto"/>
        </w:rPr>
      </w:pPr>
    </w:p>
    <w:p>
      <w:pPr>
        <w:jc w:val="center"/>
        <w:ind w:right="-341"/>
        <w:spacing w:after="0"/>
        <w:rPr>
          <w:sz w:val="20"/>
          <w:szCs w:val="20"/>
          <w:color w:val="auto"/>
        </w:rPr>
      </w:pPr>
      <w:r>
        <w:rPr>
          <w:rFonts w:ascii="Times New Roman" w:cs="Times New Roman" w:eastAsia="Times New Roman" w:hAnsi="Times New Roman"/>
          <w:sz w:val="11"/>
          <w:szCs w:val="11"/>
          <w:color w:val="auto"/>
        </w:rPr>
        <w:t>(Dollar Amounts in thousands)</w:t>
      </w:r>
    </w:p>
    <w:p>
      <w:pPr>
        <w:spacing w:after="0" w:line="217" w:lineRule="exact"/>
        <w:rPr>
          <w:sz w:val="20"/>
          <w:szCs w:val="20"/>
          <w:color w:val="auto"/>
        </w:rPr>
      </w:pPr>
    </w:p>
    <w:tbl>
      <w:tblPr>
        <w:tblLayout w:type="fixed"/>
        <w:tblInd w:w="222" w:type="dxa"/>
        <w:tblCellMar>
          <w:top w:w="0" w:type="dxa"/>
          <w:left w:w="0" w:type="dxa"/>
          <w:bottom w:w="0" w:type="dxa"/>
          <w:right w:w="0" w:type="dxa"/>
        </w:tblCellMar>
      </w:tblPr>
      <w:tr>
        <w:trPr>
          <w:trHeight w:val="115"/>
        </w:trPr>
        <w:tc>
          <w:tcPr>
            <w:tcW w:w="40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gridSpan w:val="4"/>
          </w:tcPr>
          <w:p>
            <w:pPr>
              <w:jc w:val="right"/>
              <w:ind w:right="207"/>
              <w:spacing w:after="0"/>
              <w:rPr>
                <w:sz w:val="20"/>
                <w:szCs w:val="20"/>
                <w:color w:val="auto"/>
              </w:rPr>
            </w:pPr>
            <w:r>
              <w:rPr>
                <w:rFonts w:ascii="Times New Roman" w:cs="Times New Roman" w:eastAsia="Times New Roman" w:hAnsi="Times New Roman"/>
                <w:sz w:val="10"/>
                <w:szCs w:val="10"/>
                <w:b w:val="1"/>
                <w:bCs w:val="1"/>
                <w:color w:val="auto"/>
              </w:rPr>
              <w:t>For the Three Months Ended September 30,</w:t>
            </w:r>
          </w:p>
        </w:tc>
        <w:tc>
          <w:tcPr>
            <w:tcW w:w="2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40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jc w:val="right"/>
              <w:ind w:right="367"/>
              <w:spacing w:after="0" w:line="88" w:lineRule="exact"/>
              <w:rPr>
                <w:sz w:val="20"/>
                <w:szCs w:val="20"/>
                <w:color w:val="auto"/>
              </w:rPr>
            </w:pPr>
            <w:r>
              <w:rPr>
                <w:rFonts w:ascii="Times New Roman" w:cs="Times New Roman" w:eastAsia="Times New Roman" w:hAnsi="Times New Roman"/>
                <w:sz w:val="10"/>
                <w:szCs w:val="10"/>
                <w:b w:val="1"/>
                <w:bCs w:val="1"/>
                <w:color w:val="auto"/>
                <w:w w:val="89"/>
              </w:rPr>
              <w:t>2026</w:t>
            </w:r>
          </w:p>
        </w:tc>
        <w:tc>
          <w:tcPr>
            <w:tcW w:w="84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jc w:val="right"/>
              <w:ind w:right="387"/>
              <w:spacing w:after="0" w:line="88" w:lineRule="exact"/>
              <w:rPr>
                <w:sz w:val="20"/>
                <w:szCs w:val="20"/>
                <w:color w:val="auto"/>
              </w:rPr>
            </w:pPr>
            <w:r>
              <w:rPr>
                <w:rFonts w:ascii="Times New Roman" w:cs="Times New Roman" w:eastAsia="Times New Roman" w:hAnsi="Times New Roman"/>
                <w:sz w:val="10"/>
                <w:szCs w:val="10"/>
                <w:b w:val="1"/>
                <w:bCs w:val="1"/>
                <w:color w:val="auto"/>
                <w:w w:val="89"/>
              </w:rPr>
              <w:t>2025</w:t>
            </w:r>
          </w:p>
        </w:tc>
        <w:tc>
          <w:tcPr>
            <w:tcW w:w="86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4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jc w:val="center"/>
              <w:ind w:right="87"/>
              <w:spacing w:after="0" w:line="72" w:lineRule="exact"/>
              <w:rPr>
                <w:sz w:val="20"/>
                <w:szCs w:val="20"/>
                <w:color w:val="auto"/>
              </w:rPr>
            </w:pPr>
            <w:r>
              <w:rPr>
                <w:rFonts w:ascii="Times New Roman" w:cs="Times New Roman" w:eastAsia="Times New Roman" w:hAnsi="Times New Roman"/>
                <w:sz w:val="8"/>
                <w:szCs w:val="8"/>
                <w:b w:val="1"/>
                <w:bCs w:val="1"/>
                <w:color w:val="auto"/>
              </w:rPr>
              <w:t>Average</w:t>
            </w: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jc w:val="center"/>
              <w:ind w:left="68"/>
              <w:spacing w:after="0" w:line="72" w:lineRule="exact"/>
              <w:rPr>
                <w:sz w:val="20"/>
                <w:szCs w:val="20"/>
                <w:color w:val="auto"/>
              </w:rPr>
            </w:pPr>
            <w:r>
              <w:rPr>
                <w:rFonts w:ascii="Times New Roman" w:cs="Times New Roman" w:eastAsia="Times New Roman" w:hAnsi="Times New Roman"/>
                <w:sz w:val="8"/>
                <w:szCs w:val="8"/>
                <w:b w:val="1"/>
                <w:bCs w:val="1"/>
                <w:color w:val="auto"/>
              </w:rPr>
              <w:t>Average</w:t>
            </w: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jc w:val="center"/>
              <w:ind w:right="87"/>
              <w:spacing w:after="0" w:line="72" w:lineRule="exact"/>
              <w:rPr>
                <w:sz w:val="20"/>
                <w:szCs w:val="20"/>
                <w:color w:val="auto"/>
              </w:rPr>
            </w:pPr>
            <w:r>
              <w:rPr>
                <w:rFonts w:ascii="Times New Roman" w:cs="Times New Roman" w:eastAsia="Times New Roman" w:hAnsi="Times New Roman"/>
                <w:sz w:val="8"/>
                <w:szCs w:val="8"/>
                <w:b w:val="1"/>
                <w:bCs w:val="1"/>
                <w:color w:val="auto"/>
              </w:rPr>
              <w:t>Average</w:t>
            </w: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tcPr>
          <w:p>
            <w:pPr>
              <w:jc w:val="center"/>
              <w:ind w:left="47"/>
              <w:spacing w:after="0" w:line="72" w:lineRule="exact"/>
              <w:rPr>
                <w:sz w:val="20"/>
                <w:szCs w:val="20"/>
                <w:color w:val="auto"/>
              </w:rPr>
            </w:pPr>
            <w:r>
              <w:rPr>
                <w:rFonts w:ascii="Times New Roman" w:cs="Times New Roman" w:eastAsia="Times New Roman" w:hAnsi="Times New Roman"/>
                <w:sz w:val="8"/>
                <w:szCs w:val="8"/>
                <w:b w:val="1"/>
                <w:bCs w:val="1"/>
                <w:color w:val="auto"/>
              </w:rPr>
              <w:t>Average</w:t>
            </w: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4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jc w:val="center"/>
              <w:ind w:right="107"/>
              <w:spacing w:after="0" w:line="99" w:lineRule="exact"/>
              <w:rPr>
                <w:sz w:val="20"/>
                <w:szCs w:val="20"/>
                <w:color w:val="auto"/>
              </w:rPr>
            </w:pPr>
            <w:r>
              <w:rPr>
                <w:rFonts w:ascii="Times New Roman" w:cs="Times New Roman" w:eastAsia="Times New Roman" w:hAnsi="Times New Roman"/>
                <w:sz w:val="10"/>
                <w:szCs w:val="10"/>
                <w:b w:val="1"/>
                <w:bCs w:val="1"/>
                <w:color w:val="auto"/>
                <w:w w:val="97"/>
              </w:rPr>
              <w:t>Outstanding</w:t>
            </w: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vMerge w:val="restart"/>
          </w:tcPr>
          <w:p>
            <w:pPr>
              <w:jc w:val="right"/>
              <w:ind w:right="127"/>
              <w:spacing w:after="0"/>
              <w:rPr>
                <w:sz w:val="20"/>
                <w:szCs w:val="20"/>
                <w:color w:val="auto"/>
              </w:rPr>
            </w:pPr>
            <w:r>
              <w:rPr>
                <w:rFonts w:ascii="Times New Roman" w:cs="Times New Roman" w:eastAsia="Times New Roman" w:hAnsi="Times New Roman"/>
                <w:sz w:val="10"/>
                <w:szCs w:val="10"/>
                <w:b w:val="1"/>
                <w:bCs w:val="1"/>
                <w:color w:val="auto"/>
              </w:rPr>
              <w:t>Interest</w:t>
            </w:r>
          </w:p>
        </w:tc>
        <w:tc>
          <w:tcPr>
            <w:tcW w:w="1200" w:type="dxa"/>
            <w:vAlign w:val="bottom"/>
            <w:gridSpan w:val="2"/>
          </w:tcPr>
          <w:p>
            <w:pPr>
              <w:jc w:val="center"/>
              <w:ind w:right="200"/>
              <w:spacing w:after="0" w:line="99" w:lineRule="exact"/>
              <w:rPr>
                <w:sz w:val="20"/>
                <w:szCs w:val="20"/>
                <w:color w:val="auto"/>
              </w:rPr>
            </w:pPr>
            <w:r>
              <w:rPr>
                <w:rFonts w:ascii="Times New Roman" w:cs="Times New Roman" w:eastAsia="Times New Roman" w:hAnsi="Times New Roman"/>
                <w:sz w:val="10"/>
                <w:szCs w:val="10"/>
                <w:b w:val="1"/>
                <w:bCs w:val="1"/>
                <w:color w:val="auto"/>
                <w:w w:val="93"/>
              </w:rPr>
              <w:t>Yield/</w:t>
            </w:r>
          </w:p>
        </w:tc>
        <w:tc>
          <w:tcPr>
            <w:tcW w:w="160" w:type="dxa"/>
            <w:vAlign w:val="bottom"/>
          </w:tcPr>
          <w:p>
            <w:pPr>
              <w:spacing w:after="0"/>
              <w:rPr>
                <w:sz w:val="8"/>
                <w:szCs w:val="8"/>
                <w:color w:val="auto"/>
              </w:rPr>
            </w:pPr>
          </w:p>
        </w:tc>
        <w:tc>
          <w:tcPr>
            <w:tcW w:w="840" w:type="dxa"/>
            <w:vAlign w:val="bottom"/>
          </w:tcPr>
          <w:p>
            <w:pPr>
              <w:jc w:val="center"/>
              <w:ind w:right="107"/>
              <w:spacing w:after="0" w:line="99" w:lineRule="exact"/>
              <w:rPr>
                <w:sz w:val="20"/>
                <w:szCs w:val="20"/>
                <w:color w:val="auto"/>
              </w:rPr>
            </w:pPr>
            <w:r>
              <w:rPr>
                <w:rFonts w:ascii="Times New Roman" w:cs="Times New Roman" w:eastAsia="Times New Roman" w:hAnsi="Times New Roman"/>
                <w:sz w:val="10"/>
                <w:szCs w:val="10"/>
                <w:b w:val="1"/>
                <w:bCs w:val="1"/>
                <w:color w:val="auto"/>
                <w:w w:val="97"/>
              </w:rPr>
              <w:t>Outstanding</w:t>
            </w: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vMerge w:val="restart"/>
          </w:tcPr>
          <w:p>
            <w:pPr>
              <w:jc w:val="right"/>
              <w:ind w:right="127"/>
              <w:spacing w:after="0"/>
              <w:rPr>
                <w:sz w:val="20"/>
                <w:szCs w:val="20"/>
                <w:color w:val="auto"/>
              </w:rPr>
            </w:pPr>
            <w:r>
              <w:rPr>
                <w:rFonts w:ascii="Times New Roman" w:cs="Times New Roman" w:eastAsia="Times New Roman" w:hAnsi="Times New Roman"/>
                <w:sz w:val="10"/>
                <w:szCs w:val="10"/>
                <w:b w:val="1"/>
                <w:bCs w:val="1"/>
                <w:color w:val="auto"/>
              </w:rPr>
              <w:t>Interest</w:t>
            </w:r>
          </w:p>
        </w:tc>
        <w:tc>
          <w:tcPr>
            <w:tcW w:w="940" w:type="dxa"/>
            <w:vAlign w:val="bottom"/>
            <w:gridSpan w:val="2"/>
          </w:tcPr>
          <w:p>
            <w:pPr>
              <w:jc w:val="center"/>
              <w:ind w:left="7"/>
              <w:spacing w:after="0" w:line="99" w:lineRule="exact"/>
              <w:rPr>
                <w:sz w:val="20"/>
                <w:szCs w:val="20"/>
                <w:color w:val="auto"/>
              </w:rPr>
            </w:pPr>
            <w:r>
              <w:rPr>
                <w:rFonts w:ascii="Times New Roman" w:cs="Times New Roman" w:eastAsia="Times New Roman" w:hAnsi="Times New Roman"/>
                <w:sz w:val="10"/>
                <w:szCs w:val="10"/>
                <w:b w:val="1"/>
                <w:bCs w:val="1"/>
                <w:color w:val="auto"/>
                <w:w w:val="93"/>
              </w:rPr>
              <w:t>Yield/</w:t>
            </w:r>
          </w:p>
        </w:tc>
        <w:tc>
          <w:tcPr>
            <w:tcW w:w="0" w:type="dxa"/>
            <w:vAlign w:val="bottom"/>
          </w:tcPr>
          <w:p>
            <w:pPr>
              <w:spacing w:after="0"/>
              <w:rPr>
                <w:sz w:val="1"/>
                <w:szCs w:val="1"/>
                <w:color w:val="auto"/>
              </w:rPr>
            </w:pPr>
          </w:p>
        </w:tc>
      </w:tr>
      <w:tr>
        <w:trPr>
          <w:trHeight w:val="115"/>
        </w:trPr>
        <w:tc>
          <w:tcPr>
            <w:tcW w:w="4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jc w:val="center"/>
              <w:ind w:right="107"/>
              <w:spacing w:after="0"/>
              <w:rPr>
                <w:sz w:val="20"/>
                <w:szCs w:val="20"/>
                <w:color w:val="auto"/>
              </w:rPr>
            </w:pPr>
            <w:r>
              <w:rPr>
                <w:rFonts w:ascii="Times New Roman" w:cs="Times New Roman" w:eastAsia="Times New Roman" w:hAnsi="Times New Roman"/>
                <w:sz w:val="10"/>
                <w:szCs w:val="10"/>
                <w:b w:val="1"/>
                <w:bCs w:val="1"/>
                <w:color w:val="auto"/>
                <w:w w:val="94"/>
              </w:rPr>
              <w:t>Balance</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2"/>
              </w:rPr>
              <w:t>Cost</w:t>
            </w:r>
          </w:p>
        </w:tc>
        <w:tc>
          <w:tcPr>
            <w:tcW w:w="160" w:type="dxa"/>
            <w:vAlign w:val="bottom"/>
          </w:tcPr>
          <w:p>
            <w:pPr>
              <w:spacing w:after="0"/>
              <w:rPr>
                <w:sz w:val="10"/>
                <w:szCs w:val="10"/>
                <w:color w:val="auto"/>
              </w:rPr>
            </w:pPr>
          </w:p>
        </w:tc>
        <w:tc>
          <w:tcPr>
            <w:tcW w:w="840" w:type="dxa"/>
            <w:vAlign w:val="bottom"/>
          </w:tcPr>
          <w:p>
            <w:pPr>
              <w:jc w:val="center"/>
              <w:ind w:right="107"/>
              <w:spacing w:after="0"/>
              <w:rPr>
                <w:sz w:val="20"/>
                <w:szCs w:val="20"/>
                <w:color w:val="auto"/>
              </w:rPr>
            </w:pPr>
            <w:r>
              <w:rPr>
                <w:rFonts w:ascii="Times New Roman" w:cs="Times New Roman" w:eastAsia="Times New Roman" w:hAnsi="Times New Roman"/>
                <w:sz w:val="10"/>
                <w:szCs w:val="10"/>
                <w:b w:val="1"/>
                <w:bCs w:val="1"/>
                <w:color w:val="auto"/>
                <w:w w:val="94"/>
              </w:rPr>
              <w:t>Balance</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Cost</w:t>
            </w:r>
          </w:p>
        </w:tc>
        <w:tc>
          <w:tcPr>
            <w:tcW w:w="0" w:type="dxa"/>
            <w:vAlign w:val="bottom"/>
          </w:tcPr>
          <w:p>
            <w:pPr>
              <w:spacing w:after="0"/>
              <w:rPr>
                <w:sz w:val="1"/>
                <w:szCs w:val="1"/>
                <w:color w:val="auto"/>
              </w:rPr>
            </w:pPr>
          </w:p>
        </w:tc>
      </w:tr>
      <w:tr>
        <w:trPr>
          <w:trHeight w:val="114"/>
        </w:trPr>
        <w:tc>
          <w:tcPr>
            <w:tcW w:w="40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Interest-earning assets:</w:t>
            </w:r>
          </w:p>
        </w:tc>
        <w:tc>
          <w:tcPr>
            <w:tcW w:w="16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200" w:type="dxa"/>
            <w:vAlign w:val="bottom"/>
            <w:tcBorders>
              <w:top w:val="single" w:sz="8" w:color="auto"/>
            </w:tcBorders>
            <w:gridSpan w:val="4"/>
          </w:tcPr>
          <w:p>
            <w:pPr>
              <w:jc w:val="right"/>
              <w:ind w:right="647"/>
              <w:spacing w:after="0"/>
              <w:rPr>
                <w:sz w:val="20"/>
                <w:szCs w:val="20"/>
                <w:color w:val="auto"/>
              </w:rPr>
            </w:pPr>
            <w:r>
              <w:rPr>
                <w:rFonts w:ascii="Times New Roman" w:cs="Times New Roman" w:eastAsia="Times New Roman" w:hAnsi="Times New Roman"/>
                <w:sz w:val="10"/>
                <w:szCs w:val="10"/>
                <w:b w:val="1"/>
                <w:bCs w:val="1"/>
                <w:color w:val="auto"/>
              </w:rPr>
              <w:t>(Dollars in thousands)</w:t>
            </w:r>
          </w:p>
        </w:tc>
        <w:tc>
          <w:tcPr>
            <w:tcW w:w="2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4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4080" w:type="dxa"/>
            <w:vAlign w:val="bottom"/>
          </w:tcPr>
          <w:p>
            <w:pPr>
              <w:spacing w:after="0" w:line="153" w:lineRule="exact"/>
              <w:rPr>
                <w:sz w:val="20"/>
                <w:szCs w:val="20"/>
                <w:color w:val="auto"/>
              </w:rPr>
            </w:pPr>
            <w:r>
              <w:rPr>
                <w:rFonts w:ascii="Times New Roman" w:cs="Times New Roman" w:eastAsia="Times New Roman" w:hAnsi="Times New Roman"/>
                <w:sz w:val="11"/>
                <w:szCs w:val="11"/>
                <w:color w:val="auto"/>
              </w:rPr>
              <w:t xml:space="preserve">Loans </w:t>
            </w:r>
            <w:r>
              <w:rPr>
                <w:rFonts w:ascii="Times New Roman" w:cs="Times New Roman" w:eastAsia="Times New Roman" w:hAnsi="Times New Roman"/>
                <w:sz w:val="14"/>
                <w:szCs w:val="14"/>
                <w:color w:val="auto"/>
                <w:vertAlign w:val="superscript"/>
              </w:rPr>
              <w:t>(1)</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1,995,413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31,108</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6.19 %</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1,931,061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29,839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6.13 %</w:t>
            </w:r>
          </w:p>
        </w:tc>
        <w:tc>
          <w:tcPr>
            <w:tcW w:w="0" w:type="dxa"/>
            <w:vAlign w:val="bottom"/>
          </w:tcPr>
          <w:p>
            <w:pPr>
              <w:spacing w:after="0"/>
              <w:rPr>
                <w:sz w:val="1"/>
                <w:szCs w:val="1"/>
                <w:color w:val="auto"/>
              </w:rPr>
            </w:pPr>
          </w:p>
        </w:tc>
      </w:tr>
      <w:tr>
        <w:trPr>
          <w:trHeight w:val="135"/>
        </w:trPr>
        <w:tc>
          <w:tcPr>
            <w:tcW w:w="4080" w:type="dxa"/>
            <w:vAlign w:val="bottom"/>
          </w:tcPr>
          <w:p>
            <w:pPr>
              <w:spacing w:after="0"/>
              <w:rPr>
                <w:sz w:val="20"/>
                <w:szCs w:val="20"/>
                <w:color w:val="auto"/>
              </w:rPr>
            </w:pPr>
            <w:r>
              <w:rPr>
                <w:rFonts w:ascii="Times New Roman" w:cs="Times New Roman" w:eastAsia="Times New Roman" w:hAnsi="Times New Roman"/>
                <w:sz w:val="11"/>
                <w:szCs w:val="11"/>
                <w:color w:val="auto"/>
              </w:rPr>
              <w:t>Investment securities available for sale</w:t>
            </w:r>
          </w:p>
        </w:tc>
        <w:tc>
          <w:tcPr>
            <w:tcW w:w="16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394,461</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2,802</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2.82 %</w:t>
            </w:r>
          </w:p>
        </w:tc>
        <w:tc>
          <w:tcPr>
            <w:tcW w:w="16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415,885</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3,039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2.90 %</w:t>
            </w:r>
          </w:p>
        </w:tc>
        <w:tc>
          <w:tcPr>
            <w:tcW w:w="0" w:type="dxa"/>
            <w:vAlign w:val="bottom"/>
          </w:tcPr>
          <w:p>
            <w:pPr>
              <w:spacing w:after="0"/>
              <w:rPr>
                <w:sz w:val="1"/>
                <w:szCs w:val="1"/>
                <w:color w:val="auto"/>
              </w:rPr>
            </w:pPr>
          </w:p>
        </w:tc>
      </w:tr>
      <w:tr>
        <w:trPr>
          <w:trHeight w:val="135"/>
        </w:trPr>
        <w:tc>
          <w:tcPr>
            <w:tcW w:w="4080" w:type="dxa"/>
            <w:vAlign w:val="bottom"/>
          </w:tcPr>
          <w:p>
            <w:pPr>
              <w:spacing w:after="0"/>
              <w:rPr>
                <w:sz w:val="20"/>
                <w:szCs w:val="20"/>
                <w:color w:val="auto"/>
              </w:rPr>
            </w:pPr>
            <w:r>
              <w:rPr>
                <w:rFonts w:ascii="Times New Roman" w:cs="Times New Roman" w:eastAsia="Times New Roman" w:hAnsi="Times New Roman"/>
                <w:sz w:val="11"/>
                <w:szCs w:val="11"/>
                <w:color w:val="auto"/>
              </w:rPr>
              <w:t>Cash and due from banks and other</w:t>
            </w:r>
          </w:p>
        </w:tc>
        <w:tc>
          <w:tcPr>
            <w:tcW w:w="16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270,843</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2,213</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3.24 %</w:t>
            </w:r>
          </w:p>
        </w:tc>
        <w:tc>
          <w:tcPr>
            <w:tcW w:w="16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153,411</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3.99 %</w:t>
            </w:r>
          </w:p>
        </w:tc>
        <w:tc>
          <w:tcPr>
            <w:tcW w:w="0" w:type="dxa"/>
            <w:vAlign w:val="bottom"/>
          </w:tcPr>
          <w:p>
            <w:pPr>
              <w:spacing w:after="0"/>
              <w:rPr>
                <w:sz w:val="1"/>
                <w:szCs w:val="1"/>
                <w:color w:val="auto"/>
              </w:rPr>
            </w:pPr>
          </w:p>
        </w:tc>
      </w:tr>
      <w:tr>
        <w:trPr>
          <w:trHeight w:val="140"/>
        </w:trPr>
        <w:tc>
          <w:tcPr>
            <w:tcW w:w="4080" w:type="dxa"/>
            <w:vAlign w:val="bottom"/>
          </w:tcPr>
          <w:p>
            <w:pPr>
              <w:spacing w:after="0"/>
              <w:rPr>
                <w:sz w:val="20"/>
                <w:szCs w:val="20"/>
                <w:color w:val="auto"/>
              </w:rPr>
            </w:pPr>
            <w:r>
              <w:rPr>
                <w:rFonts w:ascii="Times New Roman" w:cs="Times New Roman" w:eastAsia="Times New Roman" w:hAnsi="Times New Roman"/>
                <w:sz w:val="11"/>
                <w:szCs w:val="11"/>
                <w:color w:val="auto"/>
              </w:rPr>
              <w:t>Restricted stock</w:t>
            </w: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6,018</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83</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5.47 %</w:t>
            </w: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7,452</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5.75 %</w:t>
            </w:r>
          </w:p>
        </w:tc>
        <w:tc>
          <w:tcPr>
            <w:tcW w:w="0" w:type="dxa"/>
            <w:vAlign w:val="bottom"/>
          </w:tcPr>
          <w:p>
            <w:pPr>
              <w:spacing w:after="0"/>
              <w:rPr>
                <w:sz w:val="1"/>
                <w:szCs w:val="1"/>
                <w:color w:val="auto"/>
              </w:rPr>
            </w:pPr>
          </w:p>
        </w:tc>
      </w:tr>
      <w:tr>
        <w:trPr>
          <w:trHeight w:val="119"/>
        </w:trPr>
        <w:tc>
          <w:tcPr>
            <w:tcW w:w="4080" w:type="dxa"/>
            <w:vAlign w:val="bottom"/>
          </w:tcPr>
          <w:p>
            <w:pPr>
              <w:ind w:left="80"/>
              <w:spacing w:after="0" w:line="119" w:lineRule="exact"/>
              <w:rPr>
                <w:sz w:val="20"/>
                <w:szCs w:val="20"/>
                <w:color w:val="auto"/>
              </w:rPr>
            </w:pPr>
            <w:r>
              <w:rPr>
                <w:rFonts w:ascii="Times New Roman" w:cs="Times New Roman" w:eastAsia="Times New Roman" w:hAnsi="Times New Roman"/>
                <w:sz w:val="11"/>
                <w:szCs w:val="11"/>
                <w:color w:val="auto"/>
              </w:rPr>
              <w:t>Total interest-earning assets</w:t>
            </w:r>
          </w:p>
        </w:tc>
        <w:tc>
          <w:tcPr>
            <w:tcW w:w="160" w:type="dxa"/>
            <w:vAlign w:val="bottom"/>
          </w:tcPr>
          <w:p>
            <w:pPr>
              <w:spacing w:after="0"/>
              <w:rPr>
                <w:sz w:val="10"/>
                <w:szCs w:val="10"/>
                <w:color w:val="auto"/>
              </w:rPr>
            </w:pPr>
          </w:p>
        </w:tc>
        <w:tc>
          <w:tcPr>
            <w:tcW w:w="8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2,666,735</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36,206</w:t>
            </w:r>
          </w:p>
        </w:tc>
        <w:tc>
          <w:tcPr>
            <w:tcW w:w="1200" w:type="dxa"/>
            <w:vAlign w:val="bottom"/>
            <w:gridSpan w:val="2"/>
          </w:tcPr>
          <w:p>
            <w:pPr>
              <w:jc w:val="right"/>
              <w:ind w:right="260"/>
              <w:spacing w:after="0" w:line="119" w:lineRule="exact"/>
              <w:rPr>
                <w:sz w:val="20"/>
                <w:szCs w:val="20"/>
                <w:color w:val="auto"/>
              </w:rPr>
            </w:pPr>
            <w:r>
              <w:rPr>
                <w:rFonts w:ascii="Times New Roman" w:cs="Times New Roman" w:eastAsia="Times New Roman" w:hAnsi="Times New Roman"/>
                <w:sz w:val="11"/>
                <w:szCs w:val="11"/>
                <w:color w:val="auto"/>
              </w:rPr>
              <w:t>5.39 %</w:t>
            </w:r>
          </w:p>
        </w:tc>
        <w:tc>
          <w:tcPr>
            <w:tcW w:w="160" w:type="dxa"/>
            <w:vAlign w:val="bottom"/>
          </w:tcPr>
          <w:p>
            <w:pPr>
              <w:spacing w:after="0"/>
              <w:rPr>
                <w:sz w:val="10"/>
                <w:szCs w:val="10"/>
                <w:color w:val="auto"/>
              </w:rPr>
            </w:pPr>
          </w:p>
        </w:tc>
        <w:tc>
          <w:tcPr>
            <w:tcW w:w="8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2,507,809</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34,528</w:t>
            </w:r>
          </w:p>
        </w:tc>
        <w:tc>
          <w:tcPr>
            <w:tcW w:w="94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1"/>
                <w:szCs w:val="11"/>
                <w:color w:val="auto"/>
              </w:rPr>
              <w:t>5.46 %</w:t>
            </w:r>
          </w:p>
        </w:tc>
        <w:tc>
          <w:tcPr>
            <w:tcW w:w="0" w:type="dxa"/>
            <w:vAlign w:val="bottom"/>
          </w:tcPr>
          <w:p>
            <w:pPr>
              <w:spacing w:after="0"/>
              <w:rPr>
                <w:sz w:val="1"/>
                <w:szCs w:val="1"/>
                <w:color w:val="auto"/>
              </w:rPr>
            </w:pPr>
          </w:p>
        </w:tc>
      </w:tr>
      <w:tr>
        <w:trPr>
          <w:trHeight w:val="140"/>
        </w:trPr>
        <w:tc>
          <w:tcPr>
            <w:tcW w:w="4080" w:type="dxa"/>
            <w:vAlign w:val="bottom"/>
          </w:tcPr>
          <w:p>
            <w:pPr>
              <w:spacing w:after="0"/>
              <w:rPr>
                <w:sz w:val="20"/>
                <w:szCs w:val="20"/>
                <w:color w:val="auto"/>
              </w:rPr>
            </w:pPr>
            <w:r>
              <w:rPr>
                <w:rFonts w:ascii="Times New Roman" w:cs="Times New Roman" w:eastAsia="Times New Roman" w:hAnsi="Times New Roman"/>
                <w:sz w:val="11"/>
                <w:szCs w:val="11"/>
                <w:color w:val="auto"/>
              </w:rPr>
              <w:t>Noninterest-earning assets</w:t>
            </w: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96,983</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104,392</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Total assets</w:t>
            </w: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2,763,718</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2,612,201</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40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Interest-bearing liabilities:</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080" w:type="dxa"/>
            <w:vAlign w:val="bottom"/>
          </w:tcPr>
          <w:p>
            <w:pPr>
              <w:spacing w:after="0"/>
              <w:rPr>
                <w:sz w:val="20"/>
                <w:szCs w:val="20"/>
                <w:color w:val="auto"/>
              </w:rPr>
            </w:pPr>
            <w:r>
              <w:rPr>
                <w:rFonts w:ascii="Times New Roman" w:cs="Times New Roman" w:eastAsia="Times New Roman" w:hAnsi="Times New Roman"/>
                <w:sz w:val="11"/>
                <w:szCs w:val="11"/>
                <w:color w:val="auto"/>
              </w:rPr>
              <w:t>Interest-bearing demand deposits</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415,994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265</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0.25 %</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425,824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0.59 %</w:t>
            </w:r>
          </w:p>
        </w:tc>
        <w:tc>
          <w:tcPr>
            <w:tcW w:w="0" w:type="dxa"/>
            <w:vAlign w:val="bottom"/>
          </w:tcPr>
          <w:p>
            <w:pPr>
              <w:spacing w:after="0"/>
              <w:rPr>
                <w:sz w:val="1"/>
                <w:szCs w:val="1"/>
                <w:color w:val="auto"/>
              </w:rPr>
            </w:pPr>
          </w:p>
        </w:tc>
      </w:tr>
      <w:tr>
        <w:trPr>
          <w:trHeight w:val="135"/>
        </w:trPr>
        <w:tc>
          <w:tcPr>
            <w:tcW w:w="4080" w:type="dxa"/>
            <w:vAlign w:val="bottom"/>
          </w:tcPr>
          <w:p>
            <w:pPr>
              <w:spacing w:after="0"/>
              <w:rPr>
                <w:sz w:val="20"/>
                <w:szCs w:val="20"/>
                <w:color w:val="auto"/>
              </w:rPr>
            </w:pPr>
            <w:r>
              <w:rPr>
                <w:rFonts w:ascii="Times New Roman" w:cs="Times New Roman" w:eastAsia="Times New Roman" w:hAnsi="Times New Roman"/>
                <w:sz w:val="11"/>
                <w:szCs w:val="11"/>
                <w:color w:val="auto"/>
              </w:rPr>
              <w:t>Money market deposits</w:t>
            </w:r>
          </w:p>
        </w:tc>
        <w:tc>
          <w:tcPr>
            <w:tcW w:w="16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413,972</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1,524</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1.46 %</w:t>
            </w:r>
          </w:p>
        </w:tc>
        <w:tc>
          <w:tcPr>
            <w:tcW w:w="16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695,959</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3,642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2.08 %</w:t>
            </w:r>
          </w:p>
        </w:tc>
        <w:tc>
          <w:tcPr>
            <w:tcW w:w="0" w:type="dxa"/>
            <w:vAlign w:val="bottom"/>
          </w:tcPr>
          <w:p>
            <w:pPr>
              <w:spacing w:after="0"/>
              <w:rPr>
                <w:sz w:val="1"/>
                <w:szCs w:val="1"/>
                <w:color w:val="auto"/>
              </w:rPr>
            </w:pPr>
          </w:p>
        </w:tc>
      </w:tr>
      <w:tr>
        <w:trPr>
          <w:trHeight w:val="135"/>
        </w:trPr>
        <w:tc>
          <w:tcPr>
            <w:tcW w:w="4080" w:type="dxa"/>
            <w:vAlign w:val="bottom"/>
          </w:tcPr>
          <w:p>
            <w:pPr>
              <w:spacing w:after="0"/>
              <w:rPr>
                <w:sz w:val="20"/>
                <w:szCs w:val="20"/>
                <w:color w:val="auto"/>
              </w:rPr>
            </w:pPr>
            <w:r>
              <w:rPr>
                <w:rFonts w:ascii="Times New Roman" w:cs="Times New Roman" w:eastAsia="Times New Roman" w:hAnsi="Times New Roman"/>
                <w:sz w:val="11"/>
                <w:szCs w:val="11"/>
                <w:color w:val="auto"/>
              </w:rPr>
              <w:t>Savings deposits</w:t>
            </w:r>
          </w:p>
        </w:tc>
        <w:tc>
          <w:tcPr>
            <w:tcW w:w="16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741,467</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3,808</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2.04 %</w:t>
            </w:r>
          </w:p>
        </w:tc>
        <w:tc>
          <w:tcPr>
            <w:tcW w:w="16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326,787</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1.49 %</w:t>
            </w:r>
          </w:p>
        </w:tc>
        <w:tc>
          <w:tcPr>
            <w:tcW w:w="0" w:type="dxa"/>
            <w:vAlign w:val="bottom"/>
          </w:tcPr>
          <w:p>
            <w:pPr>
              <w:spacing w:after="0"/>
              <w:rPr>
                <w:sz w:val="1"/>
                <w:szCs w:val="1"/>
                <w:color w:val="auto"/>
              </w:rPr>
            </w:pPr>
          </w:p>
        </w:tc>
      </w:tr>
      <w:tr>
        <w:trPr>
          <w:trHeight w:val="140"/>
        </w:trPr>
        <w:tc>
          <w:tcPr>
            <w:tcW w:w="4080" w:type="dxa"/>
            <w:vAlign w:val="bottom"/>
          </w:tcPr>
          <w:p>
            <w:pPr>
              <w:spacing w:after="0"/>
              <w:rPr>
                <w:sz w:val="20"/>
                <w:szCs w:val="20"/>
                <w:color w:val="auto"/>
              </w:rPr>
            </w:pPr>
            <w:r>
              <w:rPr>
                <w:rFonts w:ascii="Times New Roman" w:cs="Times New Roman" w:eastAsia="Times New Roman" w:hAnsi="Times New Roman"/>
                <w:sz w:val="11"/>
                <w:szCs w:val="11"/>
                <w:color w:val="auto"/>
              </w:rPr>
              <w:t>Certificates of deposit</w:t>
            </w: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33,804</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159</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1.87 %</w:t>
            </w: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96,762</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852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3.49 %</w:t>
            </w:r>
          </w:p>
        </w:tc>
        <w:tc>
          <w:tcPr>
            <w:tcW w:w="0" w:type="dxa"/>
            <w:vAlign w:val="bottom"/>
          </w:tcPr>
          <w:p>
            <w:pPr>
              <w:spacing w:after="0"/>
              <w:rPr>
                <w:sz w:val="1"/>
                <w:szCs w:val="1"/>
                <w:color w:val="auto"/>
              </w:rPr>
            </w:pPr>
          </w:p>
        </w:tc>
      </w:tr>
      <w:tr>
        <w:trPr>
          <w:trHeight w:val="119"/>
        </w:trPr>
        <w:tc>
          <w:tcPr>
            <w:tcW w:w="4080" w:type="dxa"/>
            <w:vAlign w:val="bottom"/>
          </w:tcPr>
          <w:p>
            <w:pPr>
              <w:ind w:left="80"/>
              <w:spacing w:after="0" w:line="119" w:lineRule="exact"/>
              <w:rPr>
                <w:sz w:val="20"/>
                <w:szCs w:val="20"/>
                <w:color w:val="auto"/>
              </w:rPr>
            </w:pPr>
            <w:r>
              <w:rPr>
                <w:rFonts w:ascii="Times New Roman" w:cs="Times New Roman" w:eastAsia="Times New Roman" w:hAnsi="Times New Roman"/>
                <w:sz w:val="11"/>
                <w:szCs w:val="11"/>
                <w:color w:val="auto"/>
              </w:rPr>
              <w:t>Total interest-bearing deposits</w:t>
            </w:r>
          </w:p>
        </w:tc>
        <w:tc>
          <w:tcPr>
            <w:tcW w:w="160" w:type="dxa"/>
            <w:vAlign w:val="bottom"/>
          </w:tcPr>
          <w:p>
            <w:pPr>
              <w:spacing w:after="0"/>
              <w:rPr>
                <w:sz w:val="10"/>
                <w:szCs w:val="10"/>
                <w:color w:val="auto"/>
              </w:rPr>
            </w:pPr>
          </w:p>
        </w:tc>
        <w:tc>
          <w:tcPr>
            <w:tcW w:w="8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1,605,237</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5,756</w:t>
            </w:r>
          </w:p>
        </w:tc>
        <w:tc>
          <w:tcPr>
            <w:tcW w:w="1200" w:type="dxa"/>
            <w:vAlign w:val="bottom"/>
            <w:gridSpan w:val="2"/>
          </w:tcPr>
          <w:p>
            <w:pPr>
              <w:jc w:val="right"/>
              <w:ind w:right="260"/>
              <w:spacing w:after="0" w:line="119" w:lineRule="exact"/>
              <w:rPr>
                <w:sz w:val="20"/>
                <w:szCs w:val="20"/>
                <w:color w:val="auto"/>
              </w:rPr>
            </w:pPr>
            <w:r>
              <w:rPr>
                <w:rFonts w:ascii="Times New Roman" w:cs="Times New Roman" w:eastAsia="Times New Roman" w:hAnsi="Times New Roman"/>
                <w:sz w:val="11"/>
                <w:szCs w:val="11"/>
                <w:color w:val="auto"/>
              </w:rPr>
              <w:t>1.42 %</w:t>
            </w:r>
          </w:p>
        </w:tc>
        <w:tc>
          <w:tcPr>
            <w:tcW w:w="160" w:type="dxa"/>
            <w:vAlign w:val="bottom"/>
          </w:tcPr>
          <w:p>
            <w:pPr>
              <w:spacing w:after="0"/>
              <w:rPr>
                <w:sz w:val="10"/>
                <w:szCs w:val="10"/>
                <w:color w:val="auto"/>
              </w:rPr>
            </w:pPr>
          </w:p>
        </w:tc>
        <w:tc>
          <w:tcPr>
            <w:tcW w:w="8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1,545,332</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6,348</w:t>
            </w:r>
          </w:p>
        </w:tc>
        <w:tc>
          <w:tcPr>
            <w:tcW w:w="94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1"/>
                <w:szCs w:val="11"/>
                <w:color w:val="auto"/>
              </w:rPr>
              <w:t>1.63 %</w:t>
            </w:r>
          </w:p>
        </w:tc>
        <w:tc>
          <w:tcPr>
            <w:tcW w:w="0" w:type="dxa"/>
            <w:vAlign w:val="bottom"/>
          </w:tcPr>
          <w:p>
            <w:pPr>
              <w:spacing w:after="0"/>
              <w:rPr>
                <w:sz w:val="1"/>
                <w:szCs w:val="1"/>
                <w:color w:val="auto"/>
              </w:rPr>
            </w:pPr>
          </w:p>
        </w:tc>
      </w:tr>
      <w:tr>
        <w:trPr>
          <w:trHeight w:val="135"/>
        </w:trPr>
        <w:tc>
          <w:tcPr>
            <w:tcW w:w="4080" w:type="dxa"/>
            <w:vAlign w:val="bottom"/>
          </w:tcPr>
          <w:p>
            <w:pPr>
              <w:spacing w:after="0"/>
              <w:rPr>
                <w:sz w:val="20"/>
                <w:szCs w:val="20"/>
                <w:color w:val="auto"/>
              </w:rPr>
            </w:pPr>
            <w:r>
              <w:rPr>
                <w:rFonts w:ascii="Times New Roman" w:cs="Times New Roman" w:eastAsia="Times New Roman" w:hAnsi="Times New Roman"/>
                <w:sz w:val="11"/>
                <w:szCs w:val="11"/>
                <w:color w:val="auto"/>
              </w:rPr>
              <w:t>FHLB Advances and other borrowings</w:t>
            </w:r>
          </w:p>
        </w:tc>
        <w:tc>
          <w:tcPr>
            <w:tcW w:w="16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3.97 %</w:t>
            </w:r>
          </w:p>
        </w:tc>
        <w:tc>
          <w:tcPr>
            <w:tcW w:w="16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55,082</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4.44 %</w:t>
            </w:r>
          </w:p>
        </w:tc>
        <w:tc>
          <w:tcPr>
            <w:tcW w:w="0" w:type="dxa"/>
            <w:vAlign w:val="bottom"/>
          </w:tcPr>
          <w:p>
            <w:pPr>
              <w:spacing w:after="0"/>
              <w:rPr>
                <w:sz w:val="1"/>
                <w:szCs w:val="1"/>
                <w:color w:val="auto"/>
              </w:rPr>
            </w:pPr>
          </w:p>
        </w:tc>
      </w:tr>
      <w:tr>
        <w:trPr>
          <w:trHeight w:val="140"/>
        </w:trPr>
        <w:tc>
          <w:tcPr>
            <w:tcW w:w="4080" w:type="dxa"/>
            <w:vAlign w:val="bottom"/>
          </w:tcPr>
          <w:p>
            <w:pPr>
              <w:spacing w:after="0"/>
              <w:rPr>
                <w:sz w:val="20"/>
                <w:szCs w:val="20"/>
                <w:color w:val="auto"/>
              </w:rPr>
            </w:pPr>
            <w:r>
              <w:rPr>
                <w:rFonts w:ascii="Times New Roman" w:cs="Times New Roman" w:eastAsia="Times New Roman" w:hAnsi="Times New Roman"/>
                <w:sz w:val="11"/>
                <w:szCs w:val="11"/>
                <w:color w:val="auto"/>
              </w:rPr>
              <w:t>Subordinated notes</w:t>
            </w: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24,611</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429</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6.92 %</w:t>
            </w: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20,560</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617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11.91 %</w:t>
            </w:r>
          </w:p>
        </w:tc>
        <w:tc>
          <w:tcPr>
            <w:tcW w:w="0" w:type="dxa"/>
            <w:vAlign w:val="bottom"/>
          </w:tcPr>
          <w:p>
            <w:pPr>
              <w:spacing w:after="0"/>
              <w:rPr>
                <w:sz w:val="1"/>
                <w:szCs w:val="1"/>
                <w:color w:val="auto"/>
              </w:rPr>
            </w:pPr>
          </w:p>
        </w:tc>
      </w:tr>
      <w:tr>
        <w:trPr>
          <w:trHeight w:val="119"/>
        </w:trPr>
        <w:tc>
          <w:tcPr>
            <w:tcW w:w="4080" w:type="dxa"/>
            <w:vAlign w:val="bottom"/>
          </w:tcPr>
          <w:p>
            <w:pPr>
              <w:ind w:left="80"/>
              <w:spacing w:after="0" w:line="119" w:lineRule="exact"/>
              <w:rPr>
                <w:sz w:val="20"/>
                <w:szCs w:val="20"/>
                <w:color w:val="auto"/>
              </w:rPr>
            </w:pPr>
            <w:r>
              <w:rPr>
                <w:rFonts w:ascii="Times New Roman" w:cs="Times New Roman" w:eastAsia="Times New Roman" w:hAnsi="Times New Roman"/>
                <w:sz w:val="11"/>
                <w:szCs w:val="11"/>
                <w:color w:val="auto"/>
              </w:rPr>
              <w:t>Total interest-bearing liabilities</w:t>
            </w:r>
          </w:p>
        </w:tc>
        <w:tc>
          <w:tcPr>
            <w:tcW w:w="160" w:type="dxa"/>
            <w:vAlign w:val="bottom"/>
          </w:tcPr>
          <w:p>
            <w:pPr>
              <w:spacing w:after="0"/>
              <w:rPr>
                <w:sz w:val="10"/>
                <w:szCs w:val="10"/>
                <w:color w:val="auto"/>
              </w:rPr>
            </w:pPr>
          </w:p>
        </w:tc>
        <w:tc>
          <w:tcPr>
            <w:tcW w:w="8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1,639,848</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6,285</w:t>
            </w:r>
          </w:p>
        </w:tc>
        <w:tc>
          <w:tcPr>
            <w:tcW w:w="1200" w:type="dxa"/>
            <w:vAlign w:val="bottom"/>
            <w:gridSpan w:val="2"/>
          </w:tcPr>
          <w:p>
            <w:pPr>
              <w:jc w:val="right"/>
              <w:ind w:right="260"/>
              <w:spacing w:after="0" w:line="119" w:lineRule="exact"/>
              <w:rPr>
                <w:sz w:val="20"/>
                <w:szCs w:val="20"/>
                <w:color w:val="auto"/>
              </w:rPr>
            </w:pPr>
            <w:r>
              <w:rPr>
                <w:rFonts w:ascii="Times New Roman" w:cs="Times New Roman" w:eastAsia="Times New Roman" w:hAnsi="Times New Roman"/>
                <w:sz w:val="11"/>
                <w:szCs w:val="11"/>
                <w:color w:val="auto"/>
              </w:rPr>
              <w:t>1.52 %</w:t>
            </w:r>
          </w:p>
        </w:tc>
        <w:tc>
          <w:tcPr>
            <w:tcW w:w="160" w:type="dxa"/>
            <w:vAlign w:val="bottom"/>
          </w:tcPr>
          <w:p>
            <w:pPr>
              <w:spacing w:after="0"/>
              <w:rPr>
                <w:sz w:val="10"/>
                <w:szCs w:val="10"/>
                <w:color w:val="auto"/>
              </w:rPr>
            </w:pPr>
          </w:p>
        </w:tc>
        <w:tc>
          <w:tcPr>
            <w:tcW w:w="8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1,620,974</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7,581</w:t>
            </w:r>
          </w:p>
        </w:tc>
        <w:tc>
          <w:tcPr>
            <w:tcW w:w="94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1"/>
                <w:szCs w:val="11"/>
                <w:color w:val="auto"/>
              </w:rPr>
              <w:t>1.86 %</w:t>
            </w:r>
          </w:p>
        </w:tc>
        <w:tc>
          <w:tcPr>
            <w:tcW w:w="0" w:type="dxa"/>
            <w:vAlign w:val="bottom"/>
          </w:tcPr>
          <w:p>
            <w:pPr>
              <w:spacing w:after="0"/>
              <w:rPr>
                <w:sz w:val="1"/>
                <w:szCs w:val="1"/>
                <w:color w:val="auto"/>
              </w:rPr>
            </w:pPr>
          </w:p>
        </w:tc>
      </w:tr>
      <w:tr>
        <w:trPr>
          <w:trHeight w:val="135"/>
        </w:trPr>
        <w:tc>
          <w:tcPr>
            <w:tcW w:w="4080" w:type="dxa"/>
            <w:vAlign w:val="bottom"/>
          </w:tcPr>
          <w:p>
            <w:pPr>
              <w:spacing w:after="0"/>
              <w:rPr>
                <w:sz w:val="20"/>
                <w:szCs w:val="20"/>
                <w:color w:val="auto"/>
              </w:rPr>
            </w:pPr>
            <w:r>
              <w:rPr>
                <w:rFonts w:ascii="Times New Roman" w:cs="Times New Roman" w:eastAsia="Times New Roman" w:hAnsi="Times New Roman"/>
                <w:sz w:val="11"/>
                <w:szCs w:val="11"/>
                <w:color w:val="auto"/>
              </w:rPr>
              <w:t>Noninterest-bearing demand deposits</w:t>
            </w:r>
          </w:p>
        </w:tc>
        <w:tc>
          <w:tcPr>
            <w:tcW w:w="16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782,380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702,697</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4080" w:type="dxa"/>
            <w:vAlign w:val="bottom"/>
          </w:tcPr>
          <w:p>
            <w:pPr>
              <w:spacing w:after="0"/>
              <w:rPr>
                <w:sz w:val="20"/>
                <w:szCs w:val="20"/>
                <w:color w:val="auto"/>
              </w:rPr>
            </w:pPr>
            <w:r>
              <w:rPr>
                <w:rFonts w:ascii="Times New Roman" w:cs="Times New Roman" w:eastAsia="Times New Roman" w:hAnsi="Times New Roman"/>
                <w:sz w:val="11"/>
                <w:szCs w:val="11"/>
                <w:color w:val="auto"/>
              </w:rPr>
              <w:t>Other noninterest-bearing liabilities</w:t>
            </w: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29,863</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28,529</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080" w:type="dxa"/>
            <w:vAlign w:val="bottom"/>
          </w:tcPr>
          <w:p>
            <w:pPr>
              <w:ind w:left="80"/>
              <w:spacing w:after="0" w:line="119" w:lineRule="exact"/>
              <w:rPr>
                <w:sz w:val="20"/>
                <w:szCs w:val="20"/>
                <w:color w:val="auto"/>
              </w:rPr>
            </w:pPr>
            <w:r>
              <w:rPr>
                <w:rFonts w:ascii="Times New Roman" w:cs="Times New Roman" w:eastAsia="Times New Roman" w:hAnsi="Times New Roman"/>
                <w:sz w:val="11"/>
                <w:szCs w:val="11"/>
                <w:color w:val="auto"/>
              </w:rPr>
              <w:t>Total liabilities</w:t>
            </w:r>
          </w:p>
        </w:tc>
        <w:tc>
          <w:tcPr>
            <w:tcW w:w="160" w:type="dxa"/>
            <w:vAlign w:val="bottom"/>
          </w:tcPr>
          <w:p>
            <w:pPr>
              <w:spacing w:after="0"/>
              <w:rPr>
                <w:sz w:val="10"/>
                <w:szCs w:val="10"/>
                <w:color w:val="auto"/>
              </w:rPr>
            </w:pPr>
          </w:p>
        </w:tc>
        <w:tc>
          <w:tcPr>
            <w:tcW w:w="8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2,452,091</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2,352,200</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4080" w:type="dxa"/>
            <w:vAlign w:val="bottom"/>
          </w:tcPr>
          <w:p>
            <w:pPr>
              <w:spacing w:after="0"/>
              <w:rPr>
                <w:sz w:val="20"/>
                <w:szCs w:val="20"/>
                <w:color w:val="auto"/>
              </w:rPr>
            </w:pPr>
            <w:r>
              <w:rPr>
                <w:rFonts w:ascii="Times New Roman" w:cs="Times New Roman" w:eastAsia="Times New Roman" w:hAnsi="Times New Roman"/>
                <w:sz w:val="11"/>
                <w:szCs w:val="11"/>
                <w:color w:val="auto"/>
              </w:rPr>
              <w:t>Total stockholders’ equity</w:t>
            </w: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311,627</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260,001</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Total liabilities and stockholders’ equity</w:t>
            </w: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2,763,718</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2,612,201</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4080" w:type="dxa"/>
            <w:vAlign w:val="bottom"/>
          </w:tcPr>
          <w:p>
            <w:pPr>
              <w:spacing w:after="0" w:line="113" w:lineRule="exact"/>
              <w:rPr>
                <w:sz w:val="20"/>
                <w:szCs w:val="20"/>
                <w:color w:val="auto"/>
              </w:rPr>
            </w:pPr>
            <w:r>
              <w:rPr>
                <w:rFonts w:ascii="Times New Roman" w:cs="Times New Roman" w:eastAsia="Times New Roman" w:hAnsi="Times New Roman"/>
                <w:sz w:val="11"/>
                <w:szCs w:val="11"/>
                <w:color w:val="auto"/>
              </w:rPr>
              <w:t>Net interest income</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1"/>
                <w:szCs w:val="11"/>
                <w:color w:val="auto"/>
              </w:rPr>
              <w:t>29,921</w:t>
            </w: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1"/>
                <w:szCs w:val="11"/>
                <w:color w:val="auto"/>
              </w:rPr>
              <w:t>26,947</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80" w:type="dxa"/>
            <w:vAlign w:val="bottom"/>
          </w:tcPr>
          <w:p>
            <w:pPr>
              <w:spacing w:after="0" w:line="126" w:lineRule="exact"/>
              <w:rPr>
                <w:sz w:val="20"/>
                <w:szCs w:val="20"/>
                <w:color w:val="auto"/>
              </w:rPr>
            </w:pPr>
            <w:r>
              <w:rPr>
                <w:rFonts w:ascii="Times New Roman" w:cs="Times New Roman" w:eastAsia="Times New Roman" w:hAnsi="Times New Roman"/>
                <w:sz w:val="11"/>
                <w:szCs w:val="11"/>
                <w:color w:val="auto"/>
              </w:rPr>
              <w:t xml:space="preserve">Net interest rate spread </w:t>
            </w:r>
            <w:r>
              <w:rPr>
                <w:rFonts w:ascii="Times New Roman" w:cs="Times New Roman" w:eastAsia="Times New Roman" w:hAnsi="Times New Roman"/>
                <w:sz w:val="14"/>
                <w:szCs w:val="14"/>
                <w:color w:val="auto"/>
                <w:vertAlign w:val="superscript"/>
              </w:rPr>
              <w:t>(2)</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3.87 %</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3.61 %</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Net interest margin </w:t>
            </w:r>
            <w:r>
              <w:rPr>
                <w:rFonts w:ascii="Times New Roman" w:cs="Times New Roman" w:eastAsia="Times New Roman" w:hAnsi="Times New Roman"/>
                <w:sz w:val="14"/>
                <w:szCs w:val="14"/>
                <w:color w:val="auto"/>
                <w:vertAlign w:val="superscript"/>
              </w:rPr>
              <w:t>(3)</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4.45 %</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4.26 %</w:t>
            </w:r>
          </w:p>
        </w:tc>
        <w:tc>
          <w:tcPr>
            <w:tcW w:w="0" w:type="dxa"/>
            <w:vAlign w:val="bottom"/>
          </w:tcPr>
          <w:p>
            <w:pPr>
              <w:spacing w:after="0"/>
              <w:rPr>
                <w:sz w:val="1"/>
                <w:szCs w:val="1"/>
                <w:color w:val="auto"/>
              </w:rPr>
            </w:pPr>
          </w:p>
        </w:tc>
      </w:tr>
      <w:tr>
        <w:trPr>
          <w:trHeight w:val="140"/>
        </w:trPr>
        <w:tc>
          <w:tcPr>
            <w:tcW w:w="4080" w:type="dxa"/>
            <w:vAlign w:val="bottom"/>
          </w:tcPr>
          <w:p>
            <w:pPr>
              <w:spacing w:after="0"/>
              <w:rPr>
                <w:sz w:val="20"/>
                <w:szCs w:val="20"/>
                <w:color w:val="auto"/>
              </w:rPr>
            </w:pPr>
            <w:r>
              <w:rPr>
                <w:rFonts w:ascii="Times New Roman" w:cs="Times New Roman" w:eastAsia="Times New Roman" w:hAnsi="Times New Roman"/>
                <w:sz w:val="11"/>
                <w:szCs w:val="11"/>
                <w:color w:val="auto"/>
              </w:rPr>
              <w:t>Average interest-earning assets to interest-bearing liabilities</w:t>
            </w:r>
          </w:p>
        </w:tc>
        <w:tc>
          <w:tcPr>
            <w:tcW w:w="1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162.6</w:t>
            </w:r>
          </w:p>
        </w:tc>
        <w:tc>
          <w:tcPr>
            <w:tcW w:w="2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86"/>
              </w:rPr>
              <w:t>%</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154.7</w:t>
            </w:r>
          </w:p>
        </w:tc>
        <w:tc>
          <w:tcPr>
            <w:tcW w:w="2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86"/>
              </w:rPr>
              <w:t>%</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0"/>
          <w:szCs w:val="10"/>
          <w:u w:val="single" w:color="auto"/>
          <w:color w:val="auto"/>
        </w:rPr>
        <w:t>Notes:</w:t>
      </w:r>
    </w:p>
    <w:p>
      <w:pPr>
        <w:spacing w:after="0" w:line="12" w:lineRule="exact"/>
        <w:rPr>
          <w:sz w:val="20"/>
          <w:szCs w:val="20"/>
          <w:color w:val="auto"/>
        </w:rPr>
      </w:pPr>
    </w:p>
    <w:p>
      <w:pPr>
        <w:ind w:left="82" w:hanging="82"/>
        <w:spacing w:after="0"/>
        <w:tabs>
          <w:tab w:leader="none" w:pos="82" w:val="left"/>
        </w:tabs>
        <w:numPr>
          <w:ilvl w:val="0"/>
          <w:numId w:val="3"/>
        </w:numPr>
        <w:rPr>
          <w:rFonts w:ascii="Times New Roman" w:cs="Times New Roman" w:eastAsia="Times New Roman" w:hAnsi="Times New Roman"/>
          <w:sz w:val="10"/>
          <w:szCs w:val="10"/>
          <w:color w:val="auto"/>
          <w:vertAlign w:val="superscript"/>
        </w:rPr>
      </w:pPr>
      <w:r>
        <w:rPr>
          <w:rFonts w:ascii="Times New Roman" w:cs="Times New Roman" w:eastAsia="Times New Roman" w:hAnsi="Times New Roman"/>
          <w:sz w:val="8"/>
          <w:szCs w:val="8"/>
          <w:color w:val="auto"/>
        </w:rPr>
        <w:t>Includes loans held-for-sale.</w:t>
      </w:r>
    </w:p>
    <w:p>
      <w:pPr>
        <w:spacing w:after="0" w:line="21" w:lineRule="exact"/>
        <w:rPr>
          <w:rFonts w:ascii="Times New Roman" w:cs="Times New Roman" w:eastAsia="Times New Roman" w:hAnsi="Times New Roman"/>
          <w:sz w:val="10"/>
          <w:szCs w:val="10"/>
          <w:color w:val="auto"/>
          <w:vertAlign w:val="superscript"/>
        </w:rPr>
      </w:pPr>
    </w:p>
    <w:p>
      <w:pPr>
        <w:ind w:left="82" w:hanging="82"/>
        <w:spacing w:after="0" w:line="236" w:lineRule="auto"/>
        <w:tabs>
          <w:tab w:leader="none" w:pos="82" w:val="left"/>
        </w:tabs>
        <w:numPr>
          <w:ilvl w:val="0"/>
          <w:numId w:val="3"/>
        </w:numPr>
        <w:rPr>
          <w:rFonts w:ascii="Times New Roman" w:cs="Times New Roman" w:eastAsia="Times New Roman" w:hAnsi="Times New Roman"/>
          <w:sz w:val="10"/>
          <w:szCs w:val="10"/>
          <w:color w:val="auto"/>
          <w:vertAlign w:val="superscript"/>
        </w:rPr>
      </w:pPr>
      <w:r>
        <w:rPr>
          <w:rFonts w:ascii="Times New Roman" w:cs="Times New Roman" w:eastAsia="Times New Roman" w:hAnsi="Times New Roman"/>
          <w:sz w:val="8"/>
          <w:szCs w:val="8"/>
          <w:color w:val="auto"/>
        </w:rPr>
        <w:t>The interest rate spread is the difference between the yield on average interest-earning assets and the cost of average interest-bearing liabilities.</w:t>
      </w:r>
    </w:p>
    <w:p>
      <w:pPr>
        <w:spacing w:after="0" w:line="12" w:lineRule="exact"/>
        <w:rPr>
          <w:rFonts w:ascii="Times New Roman" w:cs="Times New Roman" w:eastAsia="Times New Roman" w:hAnsi="Times New Roman"/>
          <w:sz w:val="10"/>
          <w:szCs w:val="10"/>
          <w:color w:val="auto"/>
          <w:vertAlign w:val="superscript"/>
        </w:rPr>
      </w:pPr>
    </w:p>
    <w:p>
      <w:pPr>
        <w:ind w:left="82" w:hanging="82"/>
        <w:spacing w:after="0" w:line="206" w:lineRule="auto"/>
        <w:tabs>
          <w:tab w:leader="none" w:pos="82" w:val="left"/>
        </w:tabs>
        <w:numPr>
          <w:ilvl w:val="0"/>
          <w:numId w:val="3"/>
        </w:numPr>
        <w:rPr>
          <w:rFonts w:ascii="Times New Roman" w:cs="Times New Roman" w:eastAsia="Times New Roman" w:hAnsi="Times New Roman"/>
          <w:sz w:val="10"/>
          <w:szCs w:val="10"/>
          <w:color w:val="auto"/>
          <w:vertAlign w:val="superscript"/>
        </w:rPr>
      </w:pPr>
      <w:r>
        <w:rPr>
          <w:rFonts w:ascii="Times New Roman" w:cs="Times New Roman" w:eastAsia="Times New Roman" w:hAnsi="Times New Roman"/>
          <w:sz w:val="8"/>
          <w:szCs w:val="8"/>
          <w:color w:val="auto"/>
        </w:rPr>
        <w:t>Net interest margin is the annualized net interest income divided by average interest-earning assets.</w:t>
      </w:r>
    </w:p>
    <w:p>
      <w:pPr>
        <w:ind w:left="2"/>
        <w:spacing w:after="0" w:line="237" w:lineRule="auto"/>
        <w:rPr>
          <w:sz w:val="20"/>
          <w:szCs w:val="20"/>
          <w:color w:val="auto"/>
        </w:rPr>
      </w:pPr>
      <w:r>
        <w:rPr>
          <w:rFonts w:ascii="Times New Roman" w:cs="Times New Roman" w:eastAsia="Times New Roman" w:hAnsi="Times New Roman"/>
          <w:sz w:val="10"/>
          <w:szCs w:val="10"/>
          <w:color w:val="auto"/>
        </w:rPr>
        <w:t>Certain reclassification has been made to the amounts within interest-earning assets to conform to the current-period presentation. These reclassifications had no effect on previously reported net income or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89535</wp:posOffset>
            </wp:positionV>
            <wp:extent cx="720344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262"/>
          </w:cols>
          <w:pgMar w:left="638" w:top="125" w:right="999" w:bottom="1440" w:gutter="0" w:footer="0" w:header="0"/>
        </w:sectPr>
      </w:pPr>
    </w:p>
    <w:bookmarkStart w:id="12" w:name="page13"/>
    <w:bookmarkEnd w:id="12"/>
    <w:p>
      <w:pPr>
        <w:jc w:val="center"/>
        <w:ind w:right="-321"/>
        <w:spacing w:after="0"/>
        <w:rPr>
          <w:sz w:val="20"/>
          <w:szCs w:val="20"/>
          <w:color w:val="auto"/>
        </w:rPr>
      </w:pPr>
      <w:r>
        <w:rPr>
          <w:rFonts w:ascii="Times New Roman" w:cs="Times New Roman" w:eastAsia="Times New Roman" w:hAnsi="Times New Roman"/>
          <w:sz w:val="12"/>
          <w:szCs w:val="12"/>
          <w:b w:val="1"/>
          <w:bCs w:val="1"/>
          <w:color w:val="auto"/>
        </w:rPr>
        <w:t>ORANGE COUNTY BANCORP, INC.</w:t>
      </w:r>
    </w:p>
    <w:p>
      <w:pPr>
        <w:spacing w:after="0" w:line="21" w:lineRule="exact"/>
        <w:rPr>
          <w:sz w:val="20"/>
          <w:szCs w:val="20"/>
          <w:color w:val="auto"/>
        </w:rPr>
      </w:pPr>
    </w:p>
    <w:p>
      <w:pPr>
        <w:jc w:val="center"/>
        <w:ind w:right="-321"/>
        <w:spacing w:after="0"/>
        <w:rPr>
          <w:sz w:val="20"/>
          <w:szCs w:val="20"/>
          <w:color w:val="auto"/>
        </w:rPr>
      </w:pPr>
      <w:r>
        <w:rPr>
          <w:rFonts w:ascii="Times New Roman" w:cs="Times New Roman" w:eastAsia="Times New Roman" w:hAnsi="Times New Roman"/>
          <w:sz w:val="12"/>
          <w:szCs w:val="12"/>
          <w:b w:val="1"/>
          <w:bCs w:val="1"/>
          <w:color w:val="auto"/>
        </w:rPr>
        <w:t>NET INTEREST MARGIN ANALYSIS</w:t>
      </w:r>
    </w:p>
    <w:p>
      <w:pPr>
        <w:spacing w:after="0" w:line="6" w:lineRule="exact"/>
        <w:rPr>
          <w:sz w:val="20"/>
          <w:szCs w:val="20"/>
          <w:color w:val="auto"/>
        </w:rPr>
      </w:pPr>
    </w:p>
    <w:p>
      <w:pPr>
        <w:jc w:val="center"/>
        <w:ind w:right="-321"/>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6" w:lineRule="exact"/>
        <w:rPr>
          <w:sz w:val="20"/>
          <w:szCs w:val="20"/>
          <w:color w:val="auto"/>
        </w:rPr>
      </w:pPr>
    </w:p>
    <w:p>
      <w:pPr>
        <w:jc w:val="center"/>
        <w:ind w:right="-321"/>
        <w:spacing w:after="0"/>
        <w:rPr>
          <w:sz w:val="20"/>
          <w:szCs w:val="20"/>
          <w:color w:val="auto"/>
        </w:rPr>
      </w:pPr>
      <w:r>
        <w:rPr>
          <w:rFonts w:ascii="Times New Roman" w:cs="Times New Roman" w:eastAsia="Times New Roman" w:hAnsi="Times New Roman"/>
          <w:sz w:val="11"/>
          <w:szCs w:val="11"/>
          <w:color w:val="auto"/>
        </w:rPr>
        <w:t>(Dollar Amounts in thousands)</w:t>
      </w:r>
    </w:p>
    <w:p>
      <w:pPr>
        <w:spacing w:after="0" w:line="217" w:lineRule="exact"/>
        <w:rPr>
          <w:sz w:val="20"/>
          <w:szCs w:val="20"/>
          <w:color w:val="auto"/>
        </w:rPr>
      </w:pPr>
    </w:p>
    <w:tbl>
      <w:tblPr>
        <w:tblLayout w:type="fixed"/>
        <w:tblInd w:w="222" w:type="dxa"/>
        <w:tblCellMar>
          <w:top w:w="0" w:type="dxa"/>
          <w:left w:w="0" w:type="dxa"/>
          <w:bottom w:w="0" w:type="dxa"/>
          <w:right w:w="0" w:type="dxa"/>
        </w:tblCellMar>
      </w:tblPr>
      <w:tr>
        <w:trPr>
          <w:trHeight w:val="115"/>
        </w:trPr>
        <w:tc>
          <w:tcPr>
            <w:tcW w:w="43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gridSpan w:val="4"/>
          </w:tcPr>
          <w:p>
            <w:pPr>
              <w:jc w:val="right"/>
              <w:ind w:right="247"/>
              <w:spacing w:after="0"/>
              <w:rPr>
                <w:sz w:val="20"/>
                <w:szCs w:val="20"/>
                <w:color w:val="auto"/>
              </w:rPr>
            </w:pPr>
            <w:r>
              <w:rPr>
                <w:rFonts w:ascii="Times New Roman" w:cs="Times New Roman" w:eastAsia="Times New Roman" w:hAnsi="Times New Roman"/>
                <w:sz w:val="10"/>
                <w:szCs w:val="10"/>
                <w:b w:val="1"/>
                <w:bCs w:val="1"/>
                <w:color w:val="auto"/>
                <w:w w:val="97"/>
              </w:rPr>
              <w:t>For the Nine Months Ended September 30,</w:t>
            </w: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43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jc w:val="right"/>
              <w:ind w:right="387"/>
              <w:spacing w:after="0" w:line="88" w:lineRule="exact"/>
              <w:rPr>
                <w:sz w:val="20"/>
                <w:szCs w:val="20"/>
                <w:color w:val="auto"/>
              </w:rPr>
            </w:pPr>
            <w:r>
              <w:rPr>
                <w:rFonts w:ascii="Times New Roman" w:cs="Times New Roman" w:eastAsia="Times New Roman" w:hAnsi="Times New Roman"/>
                <w:sz w:val="10"/>
                <w:szCs w:val="10"/>
                <w:b w:val="1"/>
                <w:bCs w:val="1"/>
                <w:color w:val="auto"/>
                <w:w w:val="99"/>
              </w:rPr>
              <w:t>2026</w:t>
            </w:r>
          </w:p>
        </w:tc>
        <w:tc>
          <w:tcPr>
            <w:tcW w:w="82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gridSpan w:val="3"/>
          </w:tcPr>
          <w:p>
            <w:pPr>
              <w:jc w:val="right"/>
              <w:ind w:right="346"/>
              <w:spacing w:after="0" w:line="88" w:lineRule="exact"/>
              <w:rPr>
                <w:sz w:val="20"/>
                <w:szCs w:val="20"/>
                <w:color w:val="auto"/>
              </w:rPr>
            </w:pPr>
            <w:r>
              <w:rPr>
                <w:rFonts w:ascii="Times New Roman" w:cs="Times New Roman" w:eastAsia="Times New Roman" w:hAnsi="Times New Roman"/>
                <w:sz w:val="10"/>
                <w:szCs w:val="10"/>
                <w:b w:val="1"/>
                <w:bCs w:val="1"/>
                <w:color w:val="auto"/>
              </w:rPr>
              <w:t>2025</w:t>
            </w:r>
          </w:p>
        </w:tc>
        <w:tc>
          <w:tcPr>
            <w:tcW w:w="8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4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jc w:val="right"/>
              <w:ind w:right="267"/>
              <w:spacing w:after="0" w:line="72" w:lineRule="exact"/>
              <w:rPr>
                <w:sz w:val="20"/>
                <w:szCs w:val="20"/>
                <w:color w:val="auto"/>
              </w:rPr>
            </w:pPr>
            <w:r>
              <w:rPr>
                <w:rFonts w:ascii="Times New Roman" w:cs="Times New Roman" w:eastAsia="Times New Roman" w:hAnsi="Times New Roman"/>
                <w:sz w:val="8"/>
                <w:szCs w:val="8"/>
                <w:b w:val="1"/>
                <w:bCs w:val="1"/>
                <w:color w:val="auto"/>
              </w:rPr>
              <w:t>Average</w:t>
            </w: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jc w:val="center"/>
              <w:ind w:left="68"/>
              <w:spacing w:after="0" w:line="72" w:lineRule="exact"/>
              <w:rPr>
                <w:sz w:val="20"/>
                <w:szCs w:val="20"/>
                <w:color w:val="auto"/>
              </w:rPr>
            </w:pPr>
            <w:r>
              <w:rPr>
                <w:rFonts w:ascii="Times New Roman" w:cs="Times New Roman" w:eastAsia="Times New Roman" w:hAnsi="Times New Roman"/>
                <w:sz w:val="8"/>
                <w:szCs w:val="8"/>
                <w:b w:val="1"/>
                <w:bCs w:val="1"/>
                <w:color w:val="auto"/>
              </w:rPr>
              <w:t>Average</w:t>
            </w: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jc w:val="right"/>
              <w:ind w:right="267"/>
              <w:spacing w:after="0" w:line="72" w:lineRule="exact"/>
              <w:rPr>
                <w:sz w:val="20"/>
                <w:szCs w:val="20"/>
                <w:color w:val="auto"/>
              </w:rPr>
            </w:pPr>
            <w:r>
              <w:rPr>
                <w:rFonts w:ascii="Times New Roman" w:cs="Times New Roman" w:eastAsia="Times New Roman" w:hAnsi="Times New Roman"/>
                <w:sz w:val="8"/>
                <w:szCs w:val="8"/>
                <w:b w:val="1"/>
                <w:bCs w:val="1"/>
                <w:color w:val="auto"/>
              </w:rPr>
              <w:t>Average</w:t>
            </w: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0" w:type="dxa"/>
            <w:vAlign w:val="bottom"/>
          </w:tcPr>
          <w:p>
            <w:pPr>
              <w:jc w:val="center"/>
              <w:ind w:left="67"/>
              <w:spacing w:after="0" w:line="72" w:lineRule="exact"/>
              <w:rPr>
                <w:sz w:val="20"/>
                <w:szCs w:val="20"/>
                <w:color w:val="auto"/>
              </w:rPr>
            </w:pPr>
            <w:r>
              <w:rPr>
                <w:rFonts w:ascii="Times New Roman" w:cs="Times New Roman" w:eastAsia="Times New Roman" w:hAnsi="Times New Roman"/>
                <w:sz w:val="8"/>
                <w:szCs w:val="8"/>
                <w:b w:val="1"/>
                <w:bCs w:val="1"/>
                <w:color w:val="auto"/>
              </w:rPr>
              <w:t>Average</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4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jc w:val="right"/>
              <w:ind w:right="167"/>
              <w:spacing w:after="0" w:line="99" w:lineRule="exact"/>
              <w:rPr>
                <w:sz w:val="20"/>
                <w:szCs w:val="20"/>
                <w:color w:val="auto"/>
              </w:rPr>
            </w:pPr>
            <w:r>
              <w:rPr>
                <w:rFonts w:ascii="Times New Roman" w:cs="Times New Roman" w:eastAsia="Times New Roman" w:hAnsi="Times New Roman"/>
                <w:sz w:val="10"/>
                <w:szCs w:val="10"/>
                <w:b w:val="1"/>
                <w:bCs w:val="1"/>
                <w:color w:val="auto"/>
              </w:rPr>
              <w:t>Outstanding</w:t>
            </w: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vMerge w:val="restart"/>
          </w:tcPr>
          <w:p>
            <w:pPr>
              <w:jc w:val="right"/>
              <w:ind w:right="147"/>
              <w:spacing w:after="0"/>
              <w:rPr>
                <w:sz w:val="20"/>
                <w:szCs w:val="20"/>
                <w:color w:val="auto"/>
              </w:rPr>
            </w:pPr>
            <w:r>
              <w:rPr>
                <w:rFonts w:ascii="Times New Roman" w:cs="Times New Roman" w:eastAsia="Times New Roman" w:hAnsi="Times New Roman"/>
                <w:sz w:val="10"/>
                <w:szCs w:val="10"/>
                <w:b w:val="1"/>
                <w:bCs w:val="1"/>
                <w:color w:val="auto"/>
              </w:rPr>
              <w:t>Interest</w:t>
            </w:r>
          </w:p>
        </w:tc>
        <w:tc>
          <w:tcPr>
            <w:tcW w:w="1140" w:type="dxa"/>
            <w:vAlign w:val="bottom"/>
            <w:gridSpan w:val="2"/>
          </w:tcPr>
          <w:p>
            <w:pPr>
              <w:jc w:val="center"/>
              <w:ind w:right="180"/>
              <w:spacing w:after="0" w:line="99" w:lineRule="exact"/>
              <w:rPr>
                <w:sz w:val="20"/>
                <w:szCs w:val="20"/>
                <w:color w:val="auto"/>
              </w:rPr>
            </w:pPr>
            <w:r>
              <w:rPr>
                <w:rFonts w:ascii="Times New Roman" w:cs="Times New Roman" w:eastAsia="Times New Roman" w:hAnsi="Times New Roman"/>
                <w:sz w:val="10"/>
                <w:szCs w:val="10"/>
                <w:b w:val="1"/>
                <w:bCs w:val="1"/>
                <w:color w:val="auto"/>
                <w:w w:val="93"/>
              </w:rPr>
              <w:t>Yield/</w:t>
            </w:r>
          </w:p>
        </w:tc>
        <w:tc>
          <w:tcPr>
            <w:tcW w:w="140" w:type="dxa"/>
            <w:vAlign w:val="bottom"/>
          </w:tcPr>
          <w:p>
            <w:pPr>
              <w:spacing w:after="0"/>
              <w:rPr>
                <w:sz w:val="8"/>
                <w:szCs w:val="8"/>
                <w:color w:val="auto"/>
              </w:rPr>
            </w:pPr>
          </w:p>
        </w:tc>
        <w:tc>
          <w:tcPr>
            <w:tcW w:w="820" w:type="dxa"/>
            <w:vAlign w:val="bottom"/>
          </w:tcPr>
          <w:p>
            <w:pPr>
              <w:jc w:val="right"/>
              <w:ind w:right="167"/>
              <w:spacing w:after="0" w:line="99" w:lineRule="exact"/>
              <w:rPr>
                <w:sz w:val="20"/>
                <w:szCs w:val="20"/>
                <w:color w:val="auto"/>
              </w:rPr>
            </w:pPr>
            <w:r>
              <w:rPr>
                <w:rFonts w:ascii="Times New Roman" w:cs="Times New Roman" w:eastAsia="Times New Roman" w:hAnsi="Times New Roman"/>
                <w:sz w:val="10"/>
                <w:szCs w:val="10"/>
                <w:b w:val="1"/>
                <w:bCs w:val="1"/>
                <w:color w:val="auto"/>
              </w:rPr>
              <w:t>Outstanding</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vMerge w:val="restart"/>
          </w:tcPr>
          <w:p>
            <w:pPr>
              <w:jc w:val="right"/>
              <w:ind w:right="106"/>
              <w:spacing w:after="0"/>
              <w:rPr>
                <w:sz w:val="20"/>
                <w:szCs w:val="20"/>
                <w:color w:val="auto"/>
              </w:rPr>
            </w:pPr>
            <w:r>
              <w:rPr>
                <w:rFonts w:ascii="Times New Roman" w:cs="Times New Roman" w:eastAsia="Times New Roman" w:hAnsi="Times New Roman"/>
                <w:sz w:val="10"/>
                <w:szCs w:val="10"/>
                <w:b w:val="1"/>
                <w:bCs w:val="1"/>
                <w:color w:val="auto"/>
              </w:rPr>
              <w:t>Interest</w:t>
            </w:r>
          </w:p>
        </w:tc>
        <w:tc>
          <w:tcPr>
            <w:tcW w:w="900" w:type="dxa"/>
            <w:vAlign w:val="bottom"/>
            <w:gridSpan w:val="2"/>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3"/>
              </w:rPr>
              <w:t>Yield/</w:t>
            </w:r>
          </w:p>
        </w:tc>
        <w:tc>
          <w:tcPr>
            <w:tcW w:w="0" w:type="dxa"/>
            <w:vAlign w:val="bottom"/>
          </w:tcPr>
          <w:p>
            <w:pPr>
              <w:spacing w:after="0"/>
              <w:rPr>
                <w:sz w:val="1"/>
                <w:szCs w:val="1"/>
                <w:color w:val="auto"/>
              </w:rPr>
            </w:pPr>
          </w:p>
        </w:tc>
      </w:tr>
      <w:tr>
        <w:trPr>
          <w:trHeight w:val="115"/>
        </w:trPr>
        <w:tc>
          <w:tcPr>
            <w:tcW w:w="4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jc w:val="right"/>
              <w:ind w:right="247"/>
              <w:spacing w:after="0"/>
              <w:rPr>
                <w:sz w:val="20"/>
                <w:szCs w:val="20"/>
                <w:color w:val="auto"/>
              </w:rPr>
            </w:pPr>
            <w:r>
              <w:rPr>
                <w:rFonts w:ascii="Times New Roman" w:cs="Times New Roman" w:eastAsia="Times New Roman" w:hAnsi="Times New Roman"/>
                <w:sz w:val="10"/>
                <w:szCs w:val="10"/>
                <w:b w:val="1"/>
                <w:bCs w:val="1"/>
                <w:color w:val="auto"/>
              </w:rPr>
              <w:t>Balance</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Cost</w:t>
            </w:r>
          </w:p>
        </w:tc>
        <w:tc>
          <w:tcPr>
            <w:tcW w:w="140" w:type="dxa"/>
            <w:vAlign w:val="bottom"/>
          </w:tcPr>
          <w:p>
            <w:pPr>
              <w:spacing w:after="0"/>
              <w:rPr>
                <w:sz w:val="10"/>
                <w:szCs w:val="10"/>
                <w:color w:val="auto"/>
              </w:rPr>
            </w:pPr>
          </w:p>
        </w:tc>
        <w:tc>
          <w:tcPr>
            <w:tcW w:w="820" w:type="dxa"/>
            <w:vAlign w:val="bottom"/>
          </w:tcPr>
          <w:p>
            <w:pPr>
              <w:jc w:val="right"/>
              <w:ind w:right="247"/>
              <w:spacing w:after="0"/>
              <w:rPr>
                <w:sz w:val="20"/>
                <w:szCs w:val="20"/>
                <w:color w:val="auto"/>
              </w:rPr>
            </w:pPr>
            <w:r>
              <w:rPr>
                <w:rFonts w:ascii="Times New Roman" w:cs="Times New Roman" w:eastAsia="Times New Roman" w:hAnsi="Times New Roman"/>
                <w:sz w:val="10"/>
                <w:szCs w:val="10"/>
                <w:b w:val="1"/>
                <w:bCs w:val="1"/>
                <w:color w:val="auto"/>
              </w:rPr>
              <w:t>Balance</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Cost</w:t>
            </w:r>
          </w:p>
        </w:tc>
        <w:tc>
          <w:tcPr>
            <w:tcW w:w="0" w:type="dxa"/>
            <w:vAlign w:val="bottom"/>
          </w:tcPr>
          <w:p>
            <w:pPr>
              <w:spacing w:after="0"/>
              <w:rPr>
                <w:sz w:val="1"/>
                <w:szCs w:val="1"/>
                <w:color w:val="auto"/>
              </w:rPr>
            </w:pPr>
          </w:p>
        </w:tc>
      </w:tr>
      <w:tr>
        <w:trPr>
          <w:trHeight w:val="114"/>
        </w:trPr>
        <w:tc>
          <w:tcPr>
            <w:tcW w:w="43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Interest-earning assets:</w:t>
            </w:r>
          </w:p>
        </w:tc>
        <w:tc>
          <w:tcPr>
            <w:tcW w:w="14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100" w:type="dxa"/>
            <w:vAlign w:val="bottom"/>
            <w:tcBorders>
              <w:top w:val="single" w:sz="8" w:color="auto"/>
            </w:tcBorders>
            <w:gridSpan w:val="4"/>
          </w:tcPr>
          <w:p>
            <w:pPr>
              <w:jc w:val="right"/>
              <w:ind w:right="667"/>
              <w:spacing w:after="0"/>
              <w:rPr>
                <w:sz w:val="20"/>
                <w:szCs w:val="20"/>
                <w:color w:val="auto"/>
              </w:rPr>
            </w:pPr>
            <w:r>
              <w:rPr>
                <w:rFonts w:ascii="Times New Roman" w:cs="Times New Roman" w:eastAsia="Times New Roman" w:hAnsi="Times New Roman"/>
                <w:sz w:val="10"/>
                <w:szCs w:val="10"/>
                <w:b w:val="1"/>
                <w:bCs w:val="1"/>
                <w:color w:val="auto"/>
              </w:rPr>
              <w:t>(Dollars in thousands)</w:t>
            </w:r>
          </w:p>
        </w:tc>
        <w:tc>
          <w:tcPr>
            <w:tcW w:w="2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43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4320" w:type="dxa"/>
            <w:vAlign w:val="bottom"/>
          </w:tcPr>
          <w:p>
            <w:pPr>
              <w:spacing w:after="0" w:line="153" w:lineRule="exact"/>
              <w:rPr>
                <w:sz w:val="20"/>
                <w:szCs w:val="20"/>
                <w:color w:val="auto"/>
              </w:rPr>
            </w:pPr>
            <w:r>
              <w:rPr>
                <w:rFonts w:ascii="Times New Roman" w:cs="Times New Roman" w:eastAsia="Times New Roman" w:hAnsi="Times New Roman"/>
                <w:sz w:val="11"/>
                <w:szCs w:val="11"/>
                <w:color w:val="auto"/>
              </w:rPr>
              <w:t xml:space="preserve">Loans </w:t>
            </w:r>
            <w:r>
              <w:rPr>
                <w:rFonts w:ascii="Times New Roman" w:cs="Times New Roman" w:eastAsia="Times New Roman" w:hAnsi="Times New Roman"/>
                <w:sz w:val="14"/>
                <w:szCs w:val="14"/>
                <w:color w:val="auto"/>
                <w:vertAlign w:val="superscript"/>
              </w:rPr>
              <w:t>(1)</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1,973,589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90,523</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6.13 %</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1,880,670</w:t>
            </w:r>
          </w:p>
        </w:tc>
        <w:tc>
          <w:tcPr>
            <w:tcW w:w="32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85,256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6.06 %</w:t>
            </w:r>
          </w:p>
        </w:tc>
        <w:tc>
          <w:tcPr>
            <w:tcW w:w="0" w:type="dxa"/>
            <w:vAlign w:val="bottom"/>
          </w:tcPr>
          <w:p>
            <w:pPr>
              <w:spacing w:after="0"/>
              <w:rPr>
                <w:sz w:val="1"/>
                <w:szCs w:val="1"/>
                <w:color w:val="auto"/>
              </w:rPr>
            </w:pPr>
          </w:p>
        </w:tc>
      </w:tr>
      <w:tr>
        <w:trPr>
          <w:trHeight w:val="135"/>
        </w:trPr>
        <w:tc>
          <w:tcPr>
            <w:tcW w:w="4320" w:type="dxa"/>
            <w:vAlign w:val="bottom"/>
          </w:tcPr>
          <w:p>
            <w:pPr>
              <w:spacing w:after="0"/>
              <w:rPr>
                <w:sz w:val="20"/>
                <w:szCs w:val="20"/>
                <w:color w:val="auto"/>
              </w:rPr>
            </w:pPr>
            <w:r>
              <w:rPr>
                <w:rFonts w:ascii="Times New Roman" w:cs="Times New Roman" w:eastAsia="Times New Roman" w:hAnsi="Times New Roman"/>
                <w:sz w:val="11"/>
                <w:szCs w:val="11"/>
                <w:color w:val="auto"/>
              </w:rPr>
              <w:t>Investment securities available for sale</w:t>
            </w:r>
          </w:p>
        </w:tc>
        <w:tc>
          <w:tcPr>
            <w:tcW w:w="1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404,971</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8,568</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2.83 %</w:t>
            </w:r>
          </w:p>
        </w:tc>
        <w:tc>
          <w:tcPr>
            <w:tcW w:w="1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430,011</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9,244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2.87 %</w:t>
            </w:r>
          </w:p>
        </w:tc>
        <w:tc>
          <w:tcPr>
            <w:tcW w:w="0" w:type="dxa"/>
            <w:vAlign w:val="bottom"/>
          </w:tcPr>
          <w:p>
            <w:pPr>
              <w:spacing w:after="0"/>
              <w:rPr>
                <w:sz w:val="1"/>
                <w:szCs w:val="1"/>
                <w:color w:val="auto"/>
              </w:rPr>
            </w:pPr>
          </w:p>
        </w:tc>
      </w:tr>
      <w:tr>
        <w:trPr>
          <w:trHeight w:val="135"/>
        </w:trPr>
        <w:tc>
          <w:tcPr>
            <w:tcW w:w="4320" w:type="dxa"/>
            <w:vAlign w:val="bottom"/>
          </w:tcPr>
          <w:p>
            <w:pPr>
              <w:spacing w:after="0"/>
              <w:rPr>
                <w:sz w:val="20"/>
                <w:szCs w:val="20"/>
                <w:color w:val="auto"/>
              </w:rPr>
            </w:pPr>
            <w:r>
              <w:rPr>
                <w:rFonts w:ascii="Times New Roman" w:cs="Times New Roman" w:eastAsia="Times New Roman" w:hAnsi="Times New Roman"/>
                <w:sz w:val="11"/>
                <w:szCs w:val="11"/>
                <w:color w:val="auto"/>
              </w:rPr>
              <w:t>Cash and due from banks and other</w:t>
            </w:r>
          </w:p>
        </w:tc>
        <w:tc>
          <w:tcPr>
            <w:tcW w:w="1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235,702</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5,836</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3.31 %</w:t>
            </w:r>
          </w:p>
        </w:tc>
        <w:tc>
          <w:tcPr>
            <w:tcW w:w="1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156,043</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4,724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4.05 %</w:t>
            </w:r>
          </w:p>
        </w:tc>
        <w:tc>
          <w:tcPr>
            <w:tcW w:w="0" w:type="dxa"/>
            <w:vAlign w:val="bottom"/>
          </w:tcPr>
          <w:p>
            <w:pPr>
              <w:spacing w:after="0"/>
              <w:rPr>
                <w:sz w:val="1"/>
                <w:szCs w:val="1"/>
                <w:color w:val="auto"/>
              </w:rPr>
            </w:pPr>
          </w:p>
        </w:tc>
      </w:tr>
      <w:tr>
        <w:trPr>
          <w:trHeight w:val="140"/>
        </w:trPr>
        <w:tc>
          <w:tcPr>
            <w:tcW w:w="4320" w:type="dxa"/>
            <w:vAlign w:val="bottom"/>
          </w:tcPr>
          <w:p>
            <w:pPr>
              <w:spacing w:after="0"/>
              <w:rPr>
                <w:sz w:val="20"/>
                <w:szCs w:val="20"/>
                <w:color w:val="auto"/>
              </w:rPr>
            </w:pPr>
            <w:r>
              <w:rPr>
                <w:rFonts w:ascii="Times New Roman" w:cs="Times New Roman" w:eastAsia="Times New Roman" w:hAnsi="Times New Roman"/>
                <w:sz w:val="11"/>
                <w:szCs w:val="11"/>
                <w:color w:val="auto"/>
              </w:rPr>
              <w:t>Restricted stock</w:t>
            </w: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6,038</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248</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5.49 %</w:t>
            </w: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7,066</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8.23 %</w:t>
            </w:r>
          </w:p>
        </w:tc>
        <w:tc>
          <w:tcPr>
            <w:tcW w:w="0" w:type="dxa"/>
            <w:vAlign w:val="bottom"/>
          </w:tcPr>
          <w:p>
            <w:pPr>
              <w:spacing w:after="0"/>
              <w:rPr>
                <w:sz w:val="1"/>
                <w:szCs w:val="1"/>
                <w:color w:val="auto"/>
              </w:rPr>
            </w:pPr>
          </w:p>
        </w:tc>
      </w:tr>
      <w:tr>
        <w:trPr>
          <w:trHeight w:val="119"/>
        </w:trPr>
        <w:tc>
          <w:tcPr>
            <w:tcW w:w="4320" w:type="dxa"/>
            <w:vAlign w:val="bottom"/>
          </w:tcPr>
          <w:p>
            <w:pPr>
              <w:ind w:left="80"/>
              <w:spacing w:after="0" w:line="119" w:lineRule="exact"/>
              <w:rPr>
                <w:sz w:val="20"/>
                <w:szCs w:val="20"/>
                <w:color w:val="auto"/>
              </w:rPr>
            </w:pPr>
            <w:r>
              <w:rPr>
                <w:rFonts w:ascii="Times New Roman" w:cs="Times New Roman" w:eastAsia="Times New Roman" w:hAnsi="Times New Roman"/>
                <w:sz w:val="11"/>
                <w:szCs w:val="11"/>
                <w:color w:val="auto"/>
              </w:rPr>
              <w:t>Total interest-earning assets</w:t>
            </w:r>
          </w:p>
        </w:tc>
        <w:tc>
          <w:tcPr>
            <w:tcW w:w="140" w:type="dxa"/>
            <w:vAlign w:val="bottom"/>
          </w:tcPr>
          <w:p>
            <w:pPr>
              <w:spacing w:after="0"/>
              <w:rPr>
                <w:sz w:val="10"/>
                <w:szCs w:val="10"/>
                <w:color w:val="auto"/>
              </w:rPr>
            </w:pPr>
          </w:p>
        </w:tc>
        <w:tc>
          <w:tcPr>
            <w:tcW w:w="8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2,620,300</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105,175</w:t>
            </w:r>
          </w:p>
        </w:tc>
        <w:tc>
          <w:tcPr>
            <w:tcW w:w="1140" w:type="dxa"/>
            <w:vAlign w:val="bottom"/>
            <w:gridSpan w:val="2"/>
          </w:tcPr>
          <w:p>
            <w:pPr>
              <w:jc w:val="right"/>
              <w:ind w:right="240"/>
              <w:spacing w:after="0" w:line="119" w:lineRule="exact"/>
              <w:rPr>
                <w:sz w:val="20"/>
                <w:szCs w:val="20"/>
                <w:color w:val="auto"/>
              </w:rPr>
            </w:pPr>
            <w:r>
              <w:rPr>
                <w:rFonts w:ascii="Times New Roman" w:cs="Times New Roman" w:eastAsia="Times New Roman" w:hAnsi="Times New Roman"/>
                <w:sz w:val="11"/>
                <w:szCs w:val="11"/>
                <w:color w:val="auto"/>
              </w:rPr>
              <w:t>5.37 %</w:t>
            </w:r>
          </w:p>
        </w:tc>
        <w:tc>
          <w:tcPr>
            <w:tcW w:w="140" w:type="dxa"/>
            <w:vAlign w:val="bottom"/>
          </w:tcPr>
          <w:p>
            <w:pPr>
              <w:spacing w:after="0"/>
              <w:rPr>
                <w:sz w:val="10"/>
                <w:szCs w:val="10"/>
                <w:color w:val="auto"/>
              </w:rPr>
            </w:pPr>
          </w:p>
        </w:tc>
        <w:tc>
          <w:tcPr>
            <w:tcW w:w="8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2,473,790</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99,659</w:t>
            </w:r>
          </w:p>
        </w:tc>
        <w:tc>
          <w:tcPr>
            <w:tcW w:w="90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1"/>
                <w:szCs w:val="11"/>
                <w:color w:val="auto"/>
              </w:rPr>
              <w:t>5.39 %</w:t>
            </w:r>
          </w:p>
        </w:tc>
        <w:tc>
          <w:tcPr>
            <w:tcW w:w="0" w:type="dxa"/>
            <w:vAlign w:val="bottom"/>
          </w:tcPr>
          <w:p>
            <w:pPr>
              <w:spacing w:after="0"/>
              <w:rPr>
                <w:sz w:val="1"/>
                <w:szCs w:val="1"/>
                <w:color w:val="auto"/>
              </w:rPr>
            </w:pPr>
          </w:p>
        </w:tc>
      </w:tr>
      <w:tr>
        <w:trPr>
          <w:trHeight w:val="140"/>
        </w:trPr>
        <w:tc>
          <w:tcPr>
            <w:tcW w:w="4320" w:type="dxa"/>
            <w:vAlign w:val="bottom"/>
          </w:tcPr>
          <w:p>
            <w:pPr>
              <w:spacing w:after="0"/>
              <w:rPr>
                <w:sz w:val="20"/>
                <w:szCs w:val="20"/>
                <w:color w:val="auto"/>
              </w:rPr>
            </w:pPr>
            <w:r>
              <w:rPr>
                <w:rFonts w:ascii="Times New Roman" w:cs="Times New Roman" w:eastAsia="Times New Roman" w:hAnsi="Times New Roman"/>
                <w:sz w:val="11"/>
                <w:szCs w:val="11"/>
                <w:color w:val="auto"/>
              </w:rPr>
              <w:t>Noninterest-earning assets</w:t>
            </w: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91,117</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103,466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3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Total assets</w:t>
            </w: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2,711,417</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2,577,256</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43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Interest-bearing liabilities:</w:t>
            </w: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320" w:type="dxa"/>
            <w:vAlign w:val="bottom"/>
          </w:tcPr>
          <w:p>
            <w:pPr>
              <w:spacing w:after="0"/>
              <w:rPr>
                <w:sz w:val="20"/>
                <w:szCs w:val="20"/>
                <w:color w:val="auto"/>
              </w:rPr>
            </w:pPr>
            <w:r>
              <w:rPr>
                <w:rFonts w:ascii="Times New Roman" w:cs="Times New Roman" w:eastAsia="Times New Roman" w:hAnsi="Times New Roman"/>
                <w:sz w:val="11"/>
                <w:szCs w:val="11"/>
                <w:color w:val="auto"/>
              </w:rPr>
              <w:t>Interest-bearing demand deposits</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444,315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1,496</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0.45 %</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393,704</w:t>
            </w:r>
          </w:p>
        </w:tc>
        <w:tc>
          <w:tcPr>
            <w:tcW w:w="32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0.52 %</w:t>
            </w:r>
          </w:p>
        </w:tc>
        <w:tc>
          <w:tcPr>
            <w:tcW w:w="0" w:type="dxa"/>
            <w:vAlign w:val="bottom"/>
          </w:tcPr>
          <w:p>
            <w:pPr>
              <w:spacing w:after="0"/>
              <w:rPr>
                <w:sz w:val="1"/>
                <w:szCs w:val="1"/>
                <w:color w:val="auto"/>
              </w:rPr>
            </w:pPr>
          </w:p>
        </w:tc>
      </w:tr>
      <w:tr>
        <w:trPr>
          <w:trHeight w:val="135"/>
        </w:trPr>
        <w:tc>
          <w:tcPr>
            <w:tcW w:w="4320" w:type="dxa"/>
            <w:vAlign w:val="bottom"/>
          </w:tcPr>
          <w:p>
            <w:pPr>
              <w:spacing w:after="0"/>
              <w:rPr>
                <w:sz w:val="20"/>
                <w:szCs w:val="20"/>
                <w:color w:val="auto"/>
              </w:rPr>
            </w:pPr>
            <w:r>
              <w:rPr>
                <w:rFonts w:ascii="Times New Roman" w:cs="Times New Roman" w:eastAsia="Times New Roman" w:hAnsi="Times New Roman"/>
                <w:sz w:val="11"/>
                <w:szCs w:val="11"/>
                <w:color w:val="auto"/>
              </w:rPr>
              <w:t>Money market deposits</w:t>
            </w:r>
          </w:p>
        </w:tc>
        <w:tc>
          <w:tcPr>
            <w:tcW w:w="1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437,016</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4,949</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1.51 %</w:t>
            </w:r>
          </w:p>
        </w:tc>
        <w:tc>
          <w:tcPr>
            <w:tcW w:w="1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694,835</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10,997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2.12 %</w:t>
            </w:r>
          </w:p>
        </w:tc>
        <w:tc>
          <w:tcPr>
            <w:tcW w:w="0" w:type="dxa"/>
            <w:vAlign w:val="bottom"/>
          </w:tcPr>
          <w:p>
            <w:pPr>
              <w:spacing w:after="0"/>
              <w:rPr>
                <w:sz w:val="1"/>
                <w:szCs w:val="1"/>
                <w:color w:val="auto"/>
              </w:rPr>
            </w:pPr>
          </w:p>
        </w:tc>
      </w:tr>
      <w:tr>
        <w:trPr>
          <w:trHeight w:val="135"/>
        </w:trPr>
        <w:tc>
          <w:tcPr>
            <w:tcW w:w="4320" w:type="dxa"/>
            <w:vAlign w:val="bottom"/>
          </w:tcPr>
          <w:p>
            <w:pPr>
              <w:spacing w:after="0"/>
              <w:rPr>
                <w:sz w:val="20"/>
                <w:szCs w:val="20"/>
                <w:color w:val="auto"/>
              </w:rPr>
            </w:pPr>
            <w:r>
              <w:rPr>
                <w:rFonts w:ascii="Times New Roman" w:cs="Times New Roman" w:eastAsia="Times New Roman" w:hAnsi="Times New Roman"/>
                <w:sz w:val="11"/>
                <w:szCs w:val="11"/>
                <w:color w:val="auto"/>
              </w:rPr>
              <w:t>Savings deposits</w:t>
            </w:r>
          </w:p>
        </w:tc>
        <w:tc>
          <w:tcPr>
            <w:tcW w:w="1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658,011</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9,740</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1.98 %</w:t>
            </w:r>
          </w:p>
        </w:tc>
        <w:tc>
          <w:tcPr>
            <w:tcW w:w="1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299,342</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3,127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1.40 %</w:t>
            </w:r>
          </w:p>
        </w:tc>
        <w:tc>
          <w:tcPr>
            <w:tcW w:w="0" w:type="dxa"/>
            <w:vAlign w:val="bottom"/>
          </w:tcPr>
          <w:p>
            <w:pPr>
              <w:spacing w:after="0"/>
              <w:rPr>
                <w:sz w:val="1"/>
                <w:szCs w:val="1"/>
                <w:color w:val="auto"/>
              </w:rPr>
            </w:pPr>
          </w:p>
        </w:tc>
      </w:tr>
      <w:tr>
        <w:trPr>
          <w:trHeight w:val="140"/>
        </w:trPr>
        <w:tc>
          <w:tcPr>
            <w:tcW w:w="4320" w:type="dxa"/>
            <w:vAlign w:val="bottom"/>
          </w:tcPr>
          <w:p>
            <w:pPr>
              <w:spacing w:after="0"/>
              <w:rPr>
                <w:sz w:val="20"/>
                <w:szCs w:val="20"/>
                <w:color w:val="auto"/>
              </w:rPr>
            </w:pPr>
            <w:r>
              <w:rPr>
                <w:rFonts w:ascii="Times New Roman" w:cs="Times New Roman" w:eastAsia="Times New Roman" w:hAnsi="Times New Roman"/>
                <w:sz w:val="11"/>
                <w:szCs w:val="11"/>
                <w:color w:val="auto"/>
              </w:rPr>
              <w:t>Certificates of deposit</w:t>
            </w: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55,299</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1,125</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2.72 %</w:t>
            </w: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179,910</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5,298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3.94 %</w:t>
            </w:r>
          </w:p>
        </w:tc>
        <w:tc>
          <w:tcPr>
            <w:tcW w:w="0" w:type="dxa"/>
            <w:vAlign w:val="bottom"/>
          </w:tcPr>
          <w:p>
            <w:pPr>
              <w:spacing w:after="0"/>
              <w:rPr>
                <w:sz w:val="1"/>
                <w:szCs w:val="1"/>
                <w:color w:val="auto"/>
              </w:rPr>
            </w:pPr>
          </w:p>
        </w:tc>
      </w:tr>
      <w:tr>
        <w:trPr>
          <w:trHeight w:val="119"/>
        </w:trPr>
        <w:tc>
          <w:tcPr>
            <w:tcW w:w="4320" w:type="dxa"/>
            <w:vAlign w:val="bottom"/>
          </w:tcPr>
          <w:p>
            <w:pPr>
              <w:ind w:left="80"/>
              <w:spacing w:after="0" w:line="119" w:lineRule="exact"/>
              <w:rPr>
                <w:sz w:val="20"/>
                <w:szCs w:val="20"/>
                <w:color w:val="auto"/>
              </w:rPr>
            </w:pPr>
            <w:r>
              <w:rPr>
                <w:rFonts w:ascii="Times New Roman" w:cs="Times New Roman" w:eastAsia="Times New Roman" w:hAnsi="Times New Roman"/>
                <w:sz w:val="11"/>
                <w:szCs w:val="11"/>
                <w:color w:val="auto"/>
              </w:rPr>
              <w:t>Total interest-bearing deposits</w:t>
            </w:r>
          </w:p>
        </w:tc>
        <w:tc>
          <w:tcPr>
            <w:tcW w:w="140" w:type="dxa"/>
            <w:vAlign w:val="bottom"/>
          </w:tcPr>
          <w:p>
            <w:pPr>
              <w:spacing w:after="0"/>
              <w:rPr>
                <w:sz w:val="10"/>
                <w:szCs w:val="10"/>
                <w:color w:val="auto"/>
              </w:rPr>
            </w:pPr>
          </w:p>
        </w:tc>
        <w:tc>
          <w:tcPr>
            <w:tcW w:w="8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1,594,641</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17,310</w:t>
            </w:r>
          </w:p>
        </w:tc>
        <w:tc>
          <w:tcPr>
            <w:tcW w:w="1140" w:type="dxa"/>
            <w:vAlign w:val="bottom"/>
            <w:gridSpan w:val="2"/>
          </w:tcPr>
          <w:p>
            <w:pPr>
              <w:jc w:val="right"/>
              <w:ind w:right="240"/>
              <w:spacing w:after="0" w:line="119" w:lineRule="exact"/>
              <w:rPr>
                <w:sz w:val="20"/>
                <w:szCs w:val="20"/>
                <w:color w:val="auto"/>
              </w:rPr>
            </w:pPr>
            <w:r>
              <w:rPr>
                <w:rFonts w:ascii="Times New Roman" w:cs="Times New Roman" w:eastAsia="Times New Roman" w:hAnsi="Times New Roman"/>
                <w:sz w:val="11"/>
                <w:szCs w:val="11"/>
                <w:color w:val="auto"/>
              </w:rPr>
              <w:t>1.45 %</w:t>
            </w:r>
          </w:p>
        </w:tc>
        <w:tc>
          <w:tcPr>
            <w:tcW w:w="140" w:type="dxa"/>
            <w:vAlign w:val="bottom"/>
          </w:tcPr>
          <w:p>
            <w:pPr>
              <w:spacing w:after="0"/>
              <w:rPr>
                <w:sz w:val="10"/>
                <w:szCs w:val="10"/>
                <w:color w:val="auto"/>
              </w:rPr>
            </w:pPr>
          </w:p>
        </w:tc>
        <w:tc>
          <w:tcPr>
            <w:tcW w:w="8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1,567,791</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20,944</w:t>
            </w:r>
          </w:p>
        </w:tc>
        <w:tc>
          <w:tcPr>
            <w:tcW w:w="90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1"/>
                <w:szCs w:val="11"/>
                <w:color w:val="auto"/>
              </w:rPr>
              <w:t>1.79 %</w:t>
            </w:r>
          </w:p>
        </w:tc>
        <w:tc>
          <w:tcPr>
            <w:tcW w:w="0" w:type="dxa"/>
            <w:vAlign w:val="bottom"/>
          </w:tcPr>
          <w:p>
            <w:pPr>
              <w:spacing w:after="0"/>
              <w:rPr>
                <w:sz w:val="1"/>
                <w:szCs w:val="1"/>
                <w:color w:val="auto"/>
              </w:rPr>
            </w:pPr>
          </w:p>
        </w:tc>
      </w:tr>
      <w:tr>
        <w:trPr>
          <w:trHeight w:val="135"/>
        </w:trPr>
        <w:tc>
          <w:tcPr>
            <w:tcW w:w="4320" w:type="dxa"/>
            <w:vAlign w:val="bottom"/>
          </w:tcPr>
          <w:p>
            <w:pPr>
              <w:spacing w:after="0"/>
              <w:rPr>
                <w:sz w:val="20"/>
                <w:szCs w:val="20"/>
                <w:color w:val="auto"/>
              </w:rPr>
            </w:pPr>
            <w:r>
              <w:rPr>
                <w:rFonts w:ascii="Times New Roman" w:cs="Times New Roman" w:eastAsia="Times New Roman" w:hAnsi="Times New Roman"/>
                <w:sz w:val="11"/>
                <w:szCs w:val="11"/>
                <w:color w:val="auto"/>
              </w:rPr>
              <w:t>FHLB Advances and other borrowings</w:t>
            </w:r>
          </w:p>
        </w:tc>
        <w:tc>
          <w:tcPr>
            <w:tcW w:w="1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11,202</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332</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3.96 %</w:t>
            </w:r>
          </w:p>
        </w:tc>
        <w:tc>
          <w:tcPr>
            <w:tcW w:w="1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58,035</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1,922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4.43 %</w:t>
            </w:r>
          </w:p>
        </w:tc>
        <w:tc>
          <w:tcPr>
            <w:tcW w:w="0" w:type="dxa"/>
            <w:vAlign w:val="bottom"/>
          </w:tcPr>
          <w:p>
            <w:pPr>
              <w:spacing w:after="0"/>
              <w:rPr>
                <w:sz w:val="1"/>
                <w:szCs w:val="1"/>
                <w:color w:val="auto"/>
              </w:rPr>
            </w:pPr>
          </w:p>
        </w:tc>
      </w:tr>
      <w:tr>
        <w:trPr>
          <w:trHeight w:val="140"/>
        </w:trPr>
        <w:tc>
          <w:tcPr>
            <w:tcW w:w="4320" w:type="dxa"/>
            <w:vAlign w:val="bottom"/>
          </w:tcPr>
          <w:p>
            <w:pPr>
              <w:spacing w:after="0"/>
              <w:rPr>
                <w:sz w:val="20"/>
                <w:szCs w:val="20"/>
                <w:color w:val="auto"/>
              </w:rPr>
            </w:pPr>
            <w:r>
              <w:rPr>
                <w:rFonts w:ascii="Times New Roman" w:cs="Times New Roman" w:eastAsia="Times New Roman" w:hAnsi="Times New Roman"/>
                <w:sz w:val="11"/>
                <w:szCs w:val="11"/>
                <w:color w:val="auto"/>
              </w:rPr>
              <w:t>Subordinated notes</w:t>
            </w: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24,587</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1,289</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7.01 %</w:t>
            </w: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19,928</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1,078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7.23 %</w:t>
            </w:r>
          </w:p>
        </w:tc>
        <w:tc>
          <w:tcPr>
            <w:tcW w:w="0" w:type="dxa"/>
            <w:vAlign w:val="bottom"/>
          </w:tcPr>
          <w:p>
            <w:pPr>
              <w:spacing w:after="0"/>
              <w:rPr>
                <w:sz w:val="1"/>
                <w:szCs w:val="1"/>
                <w:color w:val="auto"/>
              </w:rPr>
            </w:pPr>
          </w:p>
        </w:tc>
      </w:tr>
      <w:tr>
        <w:trPr>
          <w:trHeight w:val="119"/>
        </w:trPr>
        <w:tc>
          <w:tcPr>
            <w:tcW w:w="4320" w:type="dxa"/>
            <w:vAlign w:val="bottom"/>
          </w:tcPr>
          <w:p>
            <w:pPr>
              <w:ind w:left="80"/>
              <w:spacing w:after="0" w:line="119" w:lineRule="exact"/>
              <w:rPr>
                <w:sz w:val="20"/>
                <w:szCs w:val="20"/>
                <w:color w:val="auto"/>
              </w:rPr>
            </w:pPr>
            <w:r>
              <w:rPr>
                <w:rFonts w:ascii="Times New Roman" w:cs="Times New Roman" w:eastAsia="Times New Roman" w:hAnsi="Times New Roman"/>
                <w:sz w:val="11"/>
                <w:szCs w:val="11"/>
                <w:color w:val="auto"/>
              </w:rPr>
              <w:t>Total interest-bearing liabilities</w:t>
            </w:r>
          </w:p>
        </w:tc>
        <w:tc>
          <w:tcPr>
            <w:tcW w:w="140" w:type="dxa"/>
            <w:vAlign w:val="bottom"/>
          </w:tcPr>
          <w:p>
            <w:pPr>
              <w:spacing w:after="0"/>
              <w:rPr>
                <w:sz w:val="10"/>
                <w:szCs w:val="10"/>
                <w:color w:val="auto"/>
              </w:rPr>
            </w:pPr>
          </w:p>
        </w:tc>
        <w:tc>
          <w:tcPr>
            <w:tcW w:w="8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1,630,430</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18,931</w:t>
            </w:r>
          </w:p>
        </w:tc>
        <w:tc>
          <w:tcPr>
            <w:tcW w:w="1140" w:type="dxa"/>
            <w:vAlign w:val="bottom"/>
            <w:gridSpan w:val="2"/>
          </w:tcPr>
          <w:p>
            <w:pPr>
              <w:jc w:val="right"/>
              <w:ind w:right="240"/>
              <w:spacing w:after="0" w:line="119" w:lineRule="exact"/>
              <w:rPr>
                <w:sz w:val="20"/>
                <w:szCs w:val="20"/>
                <w:color w:val="auto"/>
              </w:rPr>
            </w:pPr>
            <w:r>
              <w:rPr>
                <w:rFonts w:ascii="Times New Roman" w:cs="Times New Roman" w:eastAsia="Times New Roman" w:hAnsi="Times New Roman"/>
                <w:sz w:val="11"/>
                <w:szCs w:val="11"/>
                <w:color w:val="auto"/>
              </w:rPr>
              <w:t>1.55 %</w:t>
            </w:r>
          </w:p>
        </w:tc>
        <w:tc>
          <w:tcPr>
            <w:tcW w:w="140" w:type="dxa"/>
            <w:vAlign w:val="bottom"/>
          </w:tcPr>
          <w:p>
            <w:pPr>
              <w:spacing w:after="0"/>
              <w:rPr>
                <w:sz w:val="10"/>
                <w:szCs w:val="10"/>
                <w:color w:val="auto"/>
              </w:rPr>
            </w:pPr>
          </w:p>
        </w:tc>
        <w:tc>
          <w:tcPr>
            <w:tcW w:w="8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1,645,754</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23,944</w:t>
            </w:r>
          </w:p>
        </w:tc>
        <w:tc>
          <w:tcPr>
            <w:tcW w:w="90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1"/>
                <w:szCs w:val="11"/>
                <w:color w:val="auto"/>
              </w:rPr>
              <w:t>1.95 %</w:t>
            </w:r>
          </w:p>
        </w:tc>
        <w:tc>
          <w:tcPr>
            <w:tcW w:w="0" w:type="dxa"/>
            <w:vAlign w:val="bottom"/>
          </w:tcPr>
          <w:p>
            <w:pPr>
              <w:spacing w:after="0"/>
              <w:rPr>
                <w:sz w:val="1"/>
                <w:szCs w:val="1"/>
                <w:color w:val="auto"/>
              </w:rPr>
            </w:pPr>
          </w:p>
        </w:tc>
      </w:tr>
      <w:tr>
        <w:trPr>
          <w:trHeight w:val="135"/>
        </w:trPr>
        <w:tc>
          <w:tcPr>
            <w:tcW w:w="4320" w:type="dxa"/>
            <w:vAlign w:val="bottom"/>
          </w:tcPr>
          <w:p>
            <w:pPr>
              <w:spacing w:after="0"/>
              <w:rPr>
                <w:sz w:val="20"/>
                <w:szCs w:val="20"/>
                <w:color w:val="auto"/>
              </w:rPr>
            </w:pPr>
            <w:r>
              <w:rPr>
                <w:rFonts w:ascii="Times New Roman" w:cs="Times New Roman" w:eastAsia="Times New Roman" w:hAnsi="Times New Roman"/>
                <w:sz w:val="11"/>
                <w:szCs w:val="11"/>
                <w:color w:val="auto"/>
              </w:rPr>
              <w:t>Noninterest-bearing demand deposits</w:t>
            </w:r>
          </w:p>
        </w:tc>
        <w:tc>
          <w:tcPr>
            <w:tcW w:w="1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750,409</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680,266</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4320" w:type="dxa"/>
            <w:vAlign w:val="bottom"/>
          </w:tcPr>
          <w:p>
            <w:pPr>
              <w:spacing w:after="0"/>
              <w:rPr>
                <w:sz w:val="20"/>
                <w:szCs w:val="20"/>
                <w:color w:val="auto"/>
              </w:rPr>
            </w:pPr>
            <w:r>
              <w:rPr>
                <w:rFonts w:ascii="Times New Roman" w:cs="Times New Roman" w:eastAsia="Times New Roman" w:hAnsi="Times New Roman"/>
                <w:sz w:val="11"/>
                <w:szCs w:val="11"/>
                <w:color w:val="auto"/>
              </w:rPr>
              <w:t>Other noninterest-bearing liabilities</w:t>
            </w: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30,689</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28,619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320" w:type="dxa"/>
            <w:vAlign w:val="bottom"/>
          </w:tcPr>
          <w:p>
            <w:pPr>
              <w:ind w:left="80"/>
              <w:spacing w:after="0" w:line="119" w:lineRule="exact"/>
              <w:rPr>
                <w:sz w:val="20"/>
                <w:szCs w:val="20"/>
                <w:color w:val="auto"/>
              </w:rPr>
            </w:pPr>
            <w:r>
              <w:rPr>
                <w:rFonts w:ascii="Times New Roman" w:cs="Times New Roman" w:eastAsia="Times New Roman" w:hAnsi="Times New Roman"/>
                <w:sz w:val="11"/>
                <w:szCs w:val="11"/>
                <w:color w:val="auto"/>
              </w:rPr>
              <w:t>Total liabilities</w:t>
            </w:r>
          </w:p>
        </w:tc>
        <w:tc>
          <w:tcPr>
            <w:tcW w:w="140" w:type="dxa"/>
            <w:vAlign w:val="bottom"/>
          </w:tcPr>
          <w:p>
            <w:pPr>
              <w:spacing w:after="0"/>
              <w:rPr>
                <w:sz w:val="10"/>
                <w:szCs w:val="10"/>
                <w:color w:val="auto"/>
              </w:rPr>
            </w:pPr>
          </w:p>
        </w:tc>
        <w:tc>
          <w:tcPr>
            <w:tcW w:w="8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2,411,528</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2,354,639</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4320" w:type="dxa"/>
            <w:vAlign w:val="bottom"/>
          </w:tcPr>
          <w:p>
            <w:pPr>
              <w:spacing w:after="0"/>
              <w:rPr>
                <w:sz w:val="20"/>
                <w:szCs w:val="20"/>
                <w:color w:val="auto"/>
              </w:rPr>
            </w:pPr>
            <w:r>
              <w:rPr>
                <w:rFonts w:ascii="Times New Roman" w:cs="Times New Roman" w:eastAsia="Times New Roman" w:hAnsi="Times New Roman"/>
                <w:sz w:val="11"/>
                <w:szCs w:val="11"/>
                <w:color w:val="auto"/>
              </w:rPr>
              <w:t>Total stockholders’ equity</w:t>
            </w: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299,889</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222,617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Total liabilities and stockholders’ equity</w:t>
            </w: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2,711,417</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2,577,256</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4320" w:type="dxa"/>
            <w:vAlign w:val="bottom"/>
          </w:tcPr>
          <w:p>
            <w:pPr>
              <w:spacing w:after="0" w:line="113" w:lineRule="exact"/>
              <w:rPr>
                <w:sz w:val="20"/>
                <w:szCs w:val="20"/>
                <w:color w:val="auto"/>
              </w:rPr>
            </w:pPr>
            <w:r>
              <w:rPr>
                <w:rFonts w:ascii="Times New Roman" w:cs="Times New Roman" w:eastAsia="Times New Roman" w:hAnsi="Times New Roman"/>
                <w:sz w:val="11"/>
                <w:szCs w:val="11"/>
                <w:color w:val="auto"/>
              </w:rPr>
              <w:t>Net interest income</w:t>
            </w: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1"/>
                <w:szCs w:val="11"/>
                <w:color w:val="auto"/>
              </w:rPr>
              <w:t>86,244</w:t>
            </w: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bottom w:val="single" w:sz="8" w:color="auto"/>
            </w:tcBorders>
          </w:tcPr>
          <w:p>
            <w:pPr>
              <w:jc w:val="right"/>
              <w:ind w:right="6"/>
              <w:spacing w:after="0" w:line="113"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1"/>
                <w:szCs w:val="11"/>
                <w:color w:val="auto"/>
              </w:rPr>
              <w:t>75,715</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320" w:type="dxa"/>
            <w:vAlign w:val="bottom"/>
          </w:tcPr>
          <w:p>
            <w:pPr>
              <w:spacing w:after="0" w:line="126" w:lineRule="exact"/>
              <w:rPr>
                <w:sz w:val="20"/>
                <w:szCs w:val="20"/>
                <w:color w:val="auto"/>
              </w:rPr>
            </w:pPr>
            <w:r>
              <w:rPr>
                <w:rFonts w:ascii="Times New Roman" w:cs="Times New Roman" w:eastAsia="Times New Roman" w:hAnsi="Times New Roman"/>
                <w:sz w:val="11"/>
                <w:szCs w:val="11"/>
                <w:color w:val="auto"/>
              </w:rPr>
              <w:t xml:space="preserve">Net interest rate spread </w:t>
            </w:r>
            <w:r>
              <w:rPr>
                <w:rFonts w:ascii="Times New Roman" w:cs="Times New Roman" w:eastAsia="Times New Roman" w:hAnsi="Times New Roman"/>
                <w:sz w:val="14"/>
                <w:szCs w:val="14"/>
                <w:color w:val="auto"/>
                <w:vertAlign w:val="superscript"/>
              </w:rPr>
              <w:t>(2)</w:t>
            </w: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3.82 %</w:t>
            </w: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3.44 %</w:t>
            </w:r>
          </w:p>
        </w:tc>
        <w:tc>
          <w:tcPr>
            <w:tcW w:w="0" w:type="dxa"/>
            <w:vAlign w:val="bottom"/>
          </w:tcPr>
          <w:p>
            <w:pPr>
              <w:spacing w:after="0"/>
              <w:rPr>
                <w:sz w:val="1"/>
                <w:szCs w:val="1"/>
                <w:color w:val="auto"/>
              </w:rPr>
            </w:pPr>
          </w:p>
        </w:tc>
      </w:tr>
      <w:tr>
        <w:trPr>
          <w:trHeight w:val="162"/>
        </w:trPr>
        <w:tc>
          <w:tcPr>
            <w:tcW w:w="432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Net interest margin </w:t>
            </w:r>
            <w:r>
              <w:rPr>
                <w:rFonts w:ascii="Times New Roman" w:cs="Times New Roman" w:eastAsia="Times New Roman" w:hAnsi="Times New Roman"/>
                <w:sz w:val="14"/>
                <w:szCs w:val="14"/>
                <w:color w:val="auto"/>
                <w:vertAlign w:val="superscript"/>
              </w:rPr>
              <w:t>(3)</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4.40 %</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4.09 %</w:t>
            </w:r>
          </w:p>
        </w:tc>
        <w:tc>
          <w:tcPr>
            <w:tcW w:w="0" w:type="dxa"/>
            <w:vAlign w:val="bottom"/>
          </w:tcPr>
          <w:p>
            <w:pPr>
              <w:spacing w:after="0"/>
              <w:rPr>
                <w:sz w:val="1"/>
                <w:szCs w:val="1"/>
                <w:color w:val="auto"/>
              </w:rPr>
            </w:pPr>
          </w:p>
        </w:tc>
      </w:tr>
      <w:tr>
        <w:trPr>
          <w:trHeight w:val="140"/>
        </w:trPr>
        <w:tc>
          <w:tcPr>
            <w:tcW w:w="4320" w:type="dxa"/>
            <w:vAlign w:val="bottom"/>
          </w:tcPr>
          <w:p>
            <w:pPr>
              <w:spacing w:after="0"/>
              <w:rPr>
                <w:sz w:val="20"/>
                <w:szCs w:val="20"/>
                <w:color w:val="auto"/>
              </w:rPr>
            </w:pPr>
            <w:r>
              <w:rPr>
                <w:rFonts w:ascii="Times New Roman" w:cs="Times New Roman" w:eastAsia="Times New Roman" w:hAnsi="Times New Roman"/>
                <w:sz w:val="11"/>
                <w:szCs w:val="11"/>
                <w:color w:val="auto"/>
              </w:rPr>
              <w:t>Average interest-earning assets to interest-bearing liabilities</w:t>
            </w:r>
          </w:p>
        </w:tc>
        <w:tc>
          <w:tcPr>
            <w:tcW w:w="1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160.7</w:t>
            </w:r>
          </w:p>
        </w:tc>
        <w:tc>
          <w:tcPr>
            <w:tcW w:w="2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86"/>
              </w:rPr>
              <w:t>%</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150.3</w:t>
            </w:r>
          </w:p>
        </w:tc>
        <w:tc>
          <w:tcPr>
            <w:tcW w:w="20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w w:val="71"/>
              </w:rPr>
              <w:t>%</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0"/>
          <w:szCs w:val="10"/>
          <w:u w:val="single" w:color="auto"/>
          <w:color w:val="auto"/>
        </w:rPr>
        <w:t>Notes:</w:t>
      </w:r>
    </w:p>
    <w:p>
      <w:pPr>
        <w:spacing w:after="0" w:line="12" w:lineRule="exact"/>
        <w:rPr>
          <w:sz w:val="20"/>
          <w:szCs w:val="20"/>
          <w:color w:val="auto"/>
        </w:rPr>
      </w:pPr>
    </w:p>
    <w:p>
      <w:pPr>
        <w:ind w:left="82" w:hanging="82"/>
        <w:spacing w:after="0"/>
        <w:tabs>
          <w:tab w:leader="none" w:pos="82" w:val="left"/>
        </w:tabs>
        <w:numPr>
          <w:ilvl w:val="0"/>
          <w:numId w:val="4"/>
        </w:numPr>
        <w:rPr>
          <w:rFonts w:ascii="Times New Roman" w:cs="Times New Roman" w:eastAsia="Times New Roman" w:hAnsi="Times New Roman"/>
          <w:sz w:val="10"/>
          <w:szCs w:val="10"/>
          <w:color w:val="auto"/>
          <w:vertAlign w:val="superscript"/>
        </w:rPr>
      </w:pPr>
      <w:r>
        <w:rPr>
          <w:rFonts w:ascii="Times New Roman" w:cs="Times New Roman" w:eastAsia="Times New Roman" w:hAnsi="Times New Roman"/>
          <w:sz w:val="8"/>
          <w:szCs w:val="8"/>
          <w:color w:val="auto"/>
        </w:rPr>
        <w:t>Includes loans held-for-sale.</w:t>
      </w:r>
    </w:p>
    <w:p>
      <w:pPr>
        <w:spacing w:after="0" w:line="21" w:lineRule="exact"/>
        <w:rPr>
          <w:rFonts w:ascii="Times New Roman" w:cs="Times New Roman" w:eastAsia="Times New Roman" w:hAnsi="Times New Roman"/>
          <w:sz w:val="10"/>
          <w:szCs w:val="10"/>
          <w:color w:val="auto"/>
          <w:vertAlign w:val="superscript"/>
        </w:rPr>
      </w:pPr>
    </w:p>
    <w:p>
      <w:pPr>
        <w:ind w:left="82" w:hanging="82"/>
        <w:spacing w:after="0" w:line="236" w:lineRule="auto"/>
        <w:tabs>
          <w:tab w:leader="none" w:pos="82" w:val="left"/>
        </w:tabs>
        <w:numPr>
          <w:ilvl w:val="0"/>
          <w:numId w:val="4"/>
        </w:numPr>
        <w:rPr>
          <w:rFonts w:ascii="Times New Roman" w:cs="Times New Roman" w:eastAsia="Times New Roman" w:hAnsi="Times New Roman"/>
          <w:sz w:val="10"/>
          <w:szCs w:val="10"/>
          <w:color w:val="auto"/>
          <w:vertAlign w:val="superscript"/>
        </w:rPr>
      </w:pPr>
      <w:r>
        <w:rPr>
          <w:rFonts w:ascii="Times New Roman" w:cs="Times New Roman" w:eastAsia="Times New Roman" w:hAnsi="Times New Roman"/>
          <w:sz w:val="8"/>
          <w:szCs w:val="8"/>
          <w:color w:val="auto"/>
        </w:rPr>
        <w:t>The interest rate spread is the difference between the yield on average interest-earning assets and the cost of average interest-bearing liabilities.</w:t>
      </w:r>
    </w:p>
    <w:p>
      <w:pPr>
        <w:spacing w:after="0" w:line="12" w:lineRule="exact"/>
        <w:rPr>
          <w:rFonts w:ascii="Times New Roman" w:cs="Times New Roman" w:eastAsia="Times New Roman" w:hAnsi="Times New Roman"/>
          <w:sz w:val="10"/>
          <w:szCs w:val="10"/>
          <w:color w:val="auto"/>
          <w:vertAlign w:val="superscript"/>
        </w:rPr>
      </w:pPr>
    </w:p>
    <w:p>
      <w:pPr>
        <w:ind w:left="82" w:hanging="82"/>
        <w:spacing w:after="0" w:line="206" w:lineRule="auto"/>
        <w:tabs>
          <w:tab w:leader="none" w:pos="82" w:val="left"/>
        </w:tabs>
        <w:numPr>
          <w:ilvl w:val="0"/>
          <w:numId w:val="4"/>
        </w:numPr>
        <w:rPr>
          <w:rFonts w:ascii="Times New Roman" w:cs="Times New Roman" w:eastAsia="Times New Roman" w:hAnsi="Times New Roman"/>
          <w:sz w:val="10"/>
          <w:szCs w:val="10"/>
          <w:color w:val="auto"/>
          <w:vertAlign w:val="superscript"/>
        </w:rPr>
      </w:pPr>
      <w:r>
        <w:rPr>
          <w:rFonts w:ascii="Times New Roman" w:cs="Times New Roman" w:eastAsia="Times New Roman" w:hAnsi="Times New Roman"/>
          <w:sz w:val="8"/>
          <w:szCs w:val="8"/>
          <w:color w:val="auto"/>
        </w:rPr>
        <w:t>Net interest margin is the annualized net interest income divided by average interest-earning assets.</w:t>
      </w:r>
    </w:p>
    <w:p>
      <w:pPr>
        <w:ind w:left="2"/>
        <w:spacing w:after="0" w:line="237" w:lineRule="auto"/>
        <w:rPr>
          <w:sz w:val="20"/>
          <w:szCs w:val="20"/>
          <w:color w:val="auto"/>
        </w:rPr>
      </w:pPr>
      <w:r>
        <w:rPr>
          <w:rFonts w:ascii="Times New Roman" w:cs="Times New Roman" w:eastAsia="Times New Roman" w:hAnsi="Times New Roman"/>
          <w:sz w:val="10"/>
          <w:szCs w:val="10"/>
          <w:color w:val="auto"/>
        </w:rPr>
        <w:t>Certain reclassification has been made to the amounts within interest-earning assets to conform to the current-period presentation. These reclassifications had no effect on previously reported net income or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89535</wp:posOffset>
            </wp:positionV>
            <wp:extent cx="720344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282"/>
          </w:cols>
          <w:pgMar w:left="638" w:top="125" w:right="979" w:bottom="1440" w:gutter="0" w:footer="0" w:header="0"/>
        </w:sectPr>
      </w:pPr>
    </w:p>
    <w:bookmarkStart w:id="13" w:name="page14"/>
    <w:bookmarkEnd w:id="13"/>
    <w:p>
      <w:pPr>
        <w:jc w:val="center"/>
        <w:ind w:right="-441"/>
        <w:spacing w:after="0"/>
        <w:rPr>
          <w:sz w:val="20"/>
          <w:szCs w:val="20"/>
          <w:color w:val="auto"/>
        </w:rPr>
      </w:pPr>
      <w:r>
        <w:rPr>
          <w:rFonts w:ascii="Times New Roman" w:cs="Times New Roman" w:eastAsia="Times New Roman" w:hAnsi="Times New Roman"/>
          <w:sz w:val="12"/>
          <w:szCs w:val="12"/>
          <w:b w:val="1"/>
          <w:bCs w:val="1"/>
          <w:color w:val="auto"/>
        </w:rPr>
        <w:t>ORANGE COUNTY BANCORP, INC.</w:t>
      </w:r>
    </w:p>
    <w:p>
      <w:pPr>
        <w:spacing w:after="0" w:line="21" w:lineRule="exact"/>
        <w:rPr>
          <w:sz w:val="20"/>
          <w:szCs w:val="20"/>
          <w:color w:val="auto"/>
        </w:rPr>
      </w:pPr>
    </w:p>
    <w:p>
      <w:pPr>
        <w:jc w:val="center"/>
        <w:ind w:right="-441"/>
        <w:spacing w:after="0"/>
        <w:rPr>
          <w:sz w:val="20"/>
          <w:szCs w:val="20"/>
          <w:color w:val="auto"/>
        </w:rPr>
      </w:pPr>
      <w:r>
        <w:rPr>
          <w:rFonts w:ascii="Times New Roman" w:cs="Times New Roman" w:eastAsia="Times New Roman" w:hAnsi="Times New Roman"/>
          <w:sz w:val="12"/>
          <w:szCs w:val="12"/>
          <w:b w:val="1"/>
          <w:bCs w:val="1"/>
          <w:color w:val="auto"/>
        </w:rPr>
        <w:t>SELECTED RATIOS AND OTHER DATA</w:t>
      </w:r>
    </w:p>
    <w:p>
      <w:pPr>
        <w:spacing w:after="0" w:line="6" w:lineRule="exact"/>
        <w:rPr>
          <w:sz w:val="20"/>
          <w:szCs w:val="20"/>
          <w:color w:val="auto"/>
        </w:rPr>
      </w:pPr>
    </w:p>
    <w:p>
      <w:pPr>
        <w:jc w:val="center"/>
        <w:ind w:right="-441"/>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43" w:lineRule="exact"/>
        <w:rPr>
          <w:sz w:val="20"/>
          <w:szCs w:val="20"/>
          <w:color w:val="auto"/>
        </w:rPr>
      </w:pPr>
    </w:p>
    <w:tbl>
      <w:tblPr>
        <w:tblLayout w:type="fixed"/>
        <w:tblInd w:w="222" w:type="dxa"/>
        <w:tblCellMar>
          <w:top w:w="0" w:type="dxa"/>
          <w:left w:w="0" w:type="dxa"/>
          <w:bottom w:w="0" w:type="dxa"/>
          <w:right w:w="0" w:type="dxa"/>
        </w:tblCellMar>
      </w:tblPr>
      <w:tr>
        <w:trPr>
          <w:trHeight w:val="115"/>
        </w:trPr>
        <w:tc>
          <w:tcPr>
            <w:tcW w:w="518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0"/>
                <w:szCs w:val="10"/>
                <w:b w:val="1"/>
                <w:bCs w:val="1"/>
                <w:color w:val="231F20"/>
                <w:w w:val="94"/>
              </w:rPr>
              <w:t>Three Months Ended</w:t>
            </w:r>
          </w:p>
        </w:tc>
        <w:tc>
          <w:tcPr>
            <w:tcW w:w="68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620" w:type="dxa"/>
            <w:vAlign w:val="bottom"/>
            <w:tcBorders>
              <w:bottom w:val="single" w:sz="8" w:color="auto"/>
            </w:tcBorders>
            <w:gridSpan w:val="3"/>
          </w:tcPr>
          <w:p>
            <w:pPr>
              <w:jc w:val="center"/>
              <w:ind w:left="672"/>
              <w:spacing w:after="0"/>
              <w:rPr>
                <w:sz w:val="20"/>
                <w:szCs w:val="20"/>
                <w:color w:val="auto"/>
              </w:rPr>
            </w:pPr>
            <w:r>
              <w:rPr>
                <w:rFonts w:ascii="Times New Roman" w:cs="Times New Roman" w:eastAsia="Times New Roman" w:hAnsi="Times New Roman"/>
                <w:sz w:val="10"/>
                <w:szCs w:val="10"/>
                <w:b w:val="1"/>
                <w:bCs w:val="1"/>
                <w:color w:val="231F20"/>
                <w:w w:val="95"/>
              </w:rPr>
              <w:t>Nine Months Ended</w:t>
            </w:r>
          </w:p>
        </w:tc>
        <w:tc>
          <w:tcPr>
            <w:tcW w:w="700" w:type="dxa"/>
            <w:vAlign w:val="bottom"/>
            <w:tcBorders>
              <w:bottom w:val="single" w:sz="8" w:color="auto"/>
            </w:tcBorders>
          </w:tcPr>
          <w:p>
            <w:pPr>
              <w:spacing w:after="0"/>
              <w:rPr>
                <w:sz w:val="10"/>
                <w:szCs w:val="10"/>
                <w:color w:val="auto"/>
              </w:rPr>
            </w:pPr>
          </w:p>
        </w:tc>
      </w:tr>
      <w:tr>
        <w:trPr>
          <w:trHeight w:val="88"/>
        </w:trPr>
        <w:tc>
          <w:tcPr>
            <w:tcW w:w="518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gridSpan w:val="3"/>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w w:val="94"/>
              </w:rPr>
              <w:t>September 30,</w:t>
            </w:r>
          </w:p>
        </w:tc>
        <w:tc>
          <w:tcPr>
            <w:tcW w:w="68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620" w:type="dxa"/>
            <w:vAlign w:val="bottom"/>
            <w:tcBorders>
              <w:bottom w:val="single" w:sz="8" w:color="auto"/>
            </w:tcBorders>
            <w:gridSpan w:val="3"/>
          </w:tcPr>
          <w:p>
            <w:pPr>
              <w:jc w:val="center"/>
              <w:ind w:left="672"/>
              <w:spacing w:after="0" w:line="88" w:lineRule="exact"/>
              <w:rPr>
                <w:sz w:val="20"/>
                <w:szCs w:val="20"/>
                <w:color w:val="auto"/>
              </w:rPr>
            </w:pPr>
            <w:r>
              <w:rPr>
                <w:rFonts w:ascii="Times New Roman" w:cs="Times New Roman" w:eastAsia="Times New Roman" w:hAnsi="Times New Roman"/>
                <w:sz w:val="10"/>
                <w:szCs w:val="10"/>
                <w:b w:val="1"/>
                <w:bCs w:val="1"/>
                <w:color w:val="auto"/>
                <w:w w:val="94"/>
              </w:rPr>
              <w:t>September 30,</w:t>
            </w:r>
          </w:p>
        </w:tc>
        <w:tc>
          <w:tcPr>
            <w:tcW w:w="700" w:type="dxa"/>
            <w:vAlign w:val="bottom"/>
            <w:tcBorders>
              <w:bottom w:val="single" w:sz="8" w:color="auto"/>
            </w:tcBorders>
          </w:tcPr>
          <w:p>
            <w:pPr>
              <w:spacing w:after="0"/>
              <w:rPr>
                <w:sz w:val="7"/>
                <w:szCs w:val="7"/>
                <w:color w:val="auto"/>
              </w:rPr>
            </w:pPr>
          </w:p>
        </w:tc>
      </w:tr>
      <w:tr>
        <w:trPr>
          <w:trHeight w:val="88"/>
        </w:trPr>
        <w:tc>
          <w:tcPr>
            <w:tcW w:w="5180" w:type="dxa"/>
            <w:vAlign w:val="bottom"/>
          </w:tcPr>
          <w:p>
            <w:pPr>
              <w:spacing w:after="0"/>
              <w:rPr>
                <w:sz w:val="7"/>
                <w:szCs w:val="7"/>
                <w:color w:val="auto"/>
              </w:rPr>
            </w:pPr>
          </w:p>
        </w:tc>
        <w:tc>
          <w:tcPr>
            <w:tcW w:w="66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2026</w:t>
            </w:r>
          </w:p>
        </w:tc>
        <w:tc>
          <w:tcPr>
            <w:tcW w:w="42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jc w:val="right"/>
              <w:ind w:right="392"/>
              <w:spacing w:after="0" w:line="88" w:lineRule="exact"/>
              <w:rPr>
                <w:sz w:val="20"/>
                <w:szCs w:val="20"/>
                <w:color w:val="auto"/>
              </w:rPr>
            </w:pPr>
            <w:r>
              <w:rPr>
                <w:rFonts w:ascii="Times New Roman" w:cs="Times New Roman" w:eastAsia="Times New Roman" w:hAnsi="Times New Roman"/>
                <w:sz w:val="10"/>
                <w:szCs w:val="10"/>
                <w:b w:val="1"/>
                <w:bCs w:val="1"/>
                <w:color w:val="auto"/>
              </w:rPr>
              <w:t>2025</w:t>
            </w:r>
          </w:p>
        </w:tc>
        <w:tc>
          <w:tcPr>
            <w:tcW w:w="140" w:type="dxa"/>
            <w:vAlign w:val="bottom"/>
          </w:tcPr>
          <w:p>
            <w:pPr>
              <w:spacing w:after="0"/>
              <w:rPr>
                <w:sz w:val="7"/>
                <w:szCs w:val="7"/>
                <w:color w:val="auto"/>
              </w:rPr>
            </w:pPr>
          </w:p>
        </w:tc>
        <w:tc>
          <w:tcPr>
            <w:tcW w:w="1100" w:type="dxa"/>
            <w:vAlign w:val="bottom"/>
            <w:tcBorders>
              <w:bottom w:val="single" w:sz="8" w:color="auto"/>
            </w:tcBorders>
          </w:tcPr>
          <w:p>
            <w:pPr>
              <w:jc w:val="right"/>
              <w:ind w:right="412"/>
              <w:spacing w:after="0" w:line="88" w:lineRule="exact"/>
              <w:rPr>
                <w:sz w:val="20"/>
                <w:szCs w:val="20"/>
                <w:color w:val="auto"/>
              </w:rPr>
            </w:pPr>
            <w:r>
              <w:rPr>
                <w:rFonts w:ascii="Times New Roman" w:cs="Times New Roman" w:eastAsia="Times New Roman" w:hAnsi="Times New Roman"/>
                <w:sz w:val="10"/>
                <w:szCs w:val="10"/>
                <w:b w:val="1"/>
                <w:bCs w:val="1"/>
                <w:color w:val="auto"/>
              </w:rPr>
              <w:t>2026</w:t>
            </w:r>
          </w:p>
        </w:tc>
        <w:tc>
          <w:tcPr>
            <w:tcW w:w="14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jc w:val="right"/>
              <w:ind w:right="392"/>
              <w:spacing w:after="0" w:line="88" w:lineRule="exact"/>
              <w:rPr>
                <w:sz w:val="20"/>
                <w:szCs w:val="20"/>
                <w:color w:val="auto"/>
              </w:rPr>
            </w:pPr>
            <w:r>
              <w:rPr>
                <w:rFonts w:ascii="Times New Roman" w:cs="Times New Roman" w:eastAsia="Times New Roman" w:hAnsi="Times New Roman"/>
                <w:sz w:val="10"/>
                <w:szCs w:val="10"/>
                <w:b w:val="1"/>
                <w:bCs w:val="1"/>
                <w:color w:val="auto"/>
              </w:rPr>
              <w:t>2025</w:t>
            </w:r>
          </w:p>
        </w:tc>
      </w:tr>
      <w:tr>
        <w:trPr>
          <w:trHeight w:val="119"/>
        </w:trPr>
        <w:tc>
          <w:tcPr>
            <w:tcW w:w="58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Performance Ratios:</w:t>
            </w: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35"/>
        </w:trPr>
        <w:tc>
          <w:tcPr>
            <w:tcW w:w="58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 xml:space="preserve">Return on average assets </w:t>
            </w:r>
            <w:r>
              <w:rPr>
                <w:rFonts w:ascii="Times New Roman" w:cs="Times New Roman" w:eastAsia="Times New Roman" w:hAnsi="Times New Roman"/>
                <w:sz w:val="11"/>
                <w:szCs w:val="11"/>
                <w:color w:val="auto"/>
                <w:vertAlign w:val="superscript"/>
              </w:rPr>
              <w:t>(1)</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1.81%</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1.53%</w:t>
            </w:r>
          </w:p>
        </w:tc>
        <w:tc>
          <w:tcPr>
            <w:tcW w:w="14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1.84%</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1.51%</w:t>
            </w:r>
          </w:p>
        </w:tc>
      </w:tr>
      <w:tr>
        <w:trPr>
          <w:trHeight w:val="135"/>
        </w:trPr>
        <w:tc>
          <w:tcPr>
            <w:tcW w:w="58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 xml:space="preserve">Return on average equity </w:t>
            </w:r>
            <w:r>
              <w:rPr>
                <w:rFonts w:ascii="Times New Roman" w:cs="Times New Roman" w:eastAsia="Times New Roman" w:hAnsi="Times New Roman"/>
                <w:sz w:val="11"/>
                <w:szCs w:val="11"/>
                <w:color w:val="auto"/>
                <w:vertAlign w:val="superscript"/>
              </w:rPr>
              <w:t>(1)</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16.03%</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15.41%</w:t>
            </w:r>
          </w:p>
        </w:tc>
        <w:tc>
          <w:tcPr>
            <w:tcW w:w="14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16.64%</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17.48%</w:t>
            </w:r>
          </w:p>
        </w:tc>
      </w:tr>
      <w:tr>
        <w:trPr>
          <w:trHeight w:val="135"/>
        </w:trPr>
        <w:tc>
          <w:tcPr>
            <w:tcW w:w="58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 xml:space="preserve">Interest rate spread </w:t>
            </w:r>
            <w:r>
              <w:rPr>
                <w:rFonts w:ascii="Times New Roman" w:cs="Times New Roman" w:eastAsia="Times New Roman" w:hAnsi="Times New Roman"/>
                <w:sz w:val="11"/>
                <w:szCs w:val="11"/>
                <w:color w:val="auto"/>
                <w:vertAlign w:val="superscript"/>
              </w:rPr>
              <w:t>(2)</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3.87%</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3.61%</w:t>
            </w:r>
          </w:p>
        </w:tc>
        <w:tc>
          <w:tcPr>
            <w:tcW w:w="14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3.82%</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3.44%</w:t>
            </w:r>
          </w:p>
        </w:tc>
      </w:tr>
      <w:tr>
        <w:trPr>
          <w:trHeight w:val="135"/>
        </w:trPr>
        <w:tc>
          <w:tcPr>
            <w:tcW w:w="58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 xml:space="preserve">Net interest margin </w:t>
            </w:r>
            <w:r>
              <w:rPr>
                <w:rFonts w:ascii="Times New Roman" w:cs="Times New Roman" w:eastAsia="Times New Roman" w:hAnsi="Times New Roman"/>
                <w:sz w:val="11"/>
                <w:szCs w:val="11"/>
                <w:color w:val="auto"/>
                <w:vertAlign w:val="superscript"/>
              </w:rPr>
              <w:t>(3)</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4.45%</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4.26%</w:t>
            </w:r>
          </w:p>
        </w:tc>
        <w:tc>
          <w:tcPr>
            <w:tcW w:w="14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4.40%</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4.09%</w:t>
            </w:r>
          </w:p>
        </w:tc>
      </w:tr>
      <w:tr>
        <w:trPr>
          <w:trHeight w:val="153"/>
        </w:trPr>
        <w:tc>
          <w:tcPr>
            <w:tcW w:w="58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 xml:space="preserve">Dividend payout ratio </w:t>
            </w:r>
            <w:r>
              <w:rPr>
                <w:rFonts w:ascii="Times New Roman" w:cs="Times New Roman" w:eastAsia="Times New Roman" w:hAnsi="Times New Roman"/>
                <w:sz w:val="11"/>
                <w:szCs w:val="11"/>
                <w:color w:val="auto"/>
                <w:vertAlign w:val="superscript"/>
              </w:rPr>
              <w:t>(4)</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19.29%</w:t>
            </w: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17.31%</w:t>
            </w:r>
          </w:p>
        </w:tc>
        <w:tc>
          <w:tcPr>
            <w:tcW w:w="1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19.29%</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16.34%</w:t>
            </w:r>
          </w:p>
        </w:tc>
      </w:tr>
      <w:tr>
        <w:trPr>
          <w:trHeight w:val="123"/>
        </w:trPr>
        <w:tc>
          <w:tcPr>
            <w:tcW w:w="58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Non-interest income to average total assets</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0.78%</w:t>
            </w: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1.04%</w:t>
            </w:r>
          </w:p>
        </w:tc>
        <w:tc>
          <w:tcPr>
            <w:tcW w:w="140" w:type="dxa"/>
            <w:vAlign w:val="bottom"/>
          </w:tcPr>
          <w:p>
            <w:pPr>
              <w:spacing w:after="0"/>
              <w:rPr>
                <w:sz w:val="10"/>
                <w:szCs w:val="1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0.44%</w:t>
            </w: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0.96%</w:t>
            </w:r>
          </w:p>
        </w:tc>
      </w:tr>
      <w:tr>
        <w:trPr>
          <w:trHeight w:val="153"/>
        </w:trPr>
        <w:tc>
          <w:tcPr>
            <w:tcW w:w="58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Non-interest expenses to average total assets</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2.49%</w:t>
            </w: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2.58%</w:t>
            </w:r>
          </w:p>
        </w:tc>
        <w:tc>
          <w:tcPr>
            <w:tcW w:w="1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2.58%</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2.59%</w:t>
            </w:r>
          </w:p>
        </w:tc>
      </w:tr>
      <w:tr>
        <w:trPr>
          <w:trHeight w:val="153"/>
        </w:trPr>
        <w:tc>
          <w:tcPr>
            <w:tcW w:w="58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Average interest-earning assets to average interest-bearing liabilities</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162.62%</w:t>
            </w: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154.71%</w:t>
            </w:r>
          </w:p>
        </w:tc>
        <w:tc>
          <w:tcPr>
            <w:tcW w:w="1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160.71%</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150.31%</w:t>
            </w:r>
          </w:p>
        </w:tc>
      </w:tr>
    </w:tbl>
    <w:p>
      <w:pPr>
        <w:spacing w:after="0" w:line="181" w:lineRule="exact"/>
        <w:rPr>
          <w:sz w:val="20"/>
          <w:szCs w:val="20"/>
          <w:color w:val="auto"/>
        </w:rPr>
      </w:pPr>
    </w:p>
    <w:p>
      <w:pPr>
        <w:ind w:left="6202"/>
        <w:spacing w:after="0"/>
        <w:rPr>
          <w:sz w:val="20"/>
          <w:szCs w:val="20"/>
          <w:color w:val="auto"/>
        </w:rPr>
      </w:pPr>
      <w:r>
        <w:rPr>
          <w:rFonts w:ascii="Times New Roman" w:cs="Times New Roman" w:eastAsia="Times New Roman" w:hAnsi="Times New Roman"/>
          <w:sz w:val="10"/>
          <w:szCs w:val="10"/>
          <w:b w:val="1"/>
          <w:bCs w:val="1"/>
          <w:color w:val="auto"/>
        </w:rPr>
        <w:t>At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3426460</wp:posOffset>
            </wp:positionH>
            <wp:positionV relativeFrom="paragraph">
              <wp:posOffset>0</wp:posOffset>
            </wp:positionV>
            <wp:extent cx="146304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63040" cy="5715"/>
                    </a:xfrm>
                    <a:prstGeom prst="rect">
                      <a:avLst/>
                    </a:prstGeom>
                    <a:noFill/>
                  </pic:spPr>
                </pic:pic>
              </a:graphicData>
            </a:graphic>
          </wp:anchor>
        </w:drawing>
      </w:r>
    </w:p>
    <w:p>
      <w:pPr>
        <w:spacing w:after="0" w:line="18" w:lineRule="exact"/>
        <w:rPr>
          <w:sz w:val="20"/>
          <w:szCs w:val="20"/>
          <w:color w:val="auto"/>
        </w:rPr>
      </w:pPr>
    </w:p>
    <w:tbl>
      <w:tblPr>
        <w:tblLayout w:type="fixed"/>
        <w:tblInd w:w="222" w:type="dxa"/>
        <w:tblCellMar>
          <w:top w:w="0" w:type="dxa"/>
          <w:left w:w="0" w:type="dxa"/>
          <w:bottom w:w="0" w:type="dxa"/>
          <w:right w:w="0" w:type="dxa"/>
        </w:tblCellMar>
      </w:tblPr>
      <w:tr>
        <w:trPr>
          <w:trHeight w:val="115"/>
        </w:trPr>
        <w:tc>
          <w:tcPr>
            <w:tcW w:w="5180" w:type="dxa"/>
            <w:vAlign w:val="bottom"/>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2026</w:t>
            </w:r>
          </w:p>
        </w:tc>
        <w:tc>
          <w:tcPr>
            <w:tcW w:w="42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2025</w:t>
            </w:r>
          </w:p>
        </w:tc>
      </w:tr>
      <w:tr>
        <w:trPr>
          <w:trHeight w:val="143"/>
        </w:trPr>
        <w:tc>
          <w:tcPr>
            <w:tcW w:w="58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Asset Quality Ratios:</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53"/>
        </w:trPr>
        <w:tc>
          <w:tcPr>
            <w:tcW w:w="58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Non-performing assets to total assets</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0.71%</w:t>
            </w:r>
          </w:p>
        </w:tc>
        <w:tc>
          <w:tcPr>
            <w:tcW w:w="1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0.46%</w:t>
            </w:r>
          </w:p>
        </w:tc>
      </w:tr>
      <w:tr>
        <w:trPr>
          <w:trHeight w:val="153"/>
        </w:trPr>
        <w:tc>
          <w:tcPr>
            <w:tcW w:w="58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Non-performing loans to total loans</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0.98%</w:t>
            </w:r>
          </w:p>
        </w:tc>
        <w:tc>
          <w:tcPr>
            <w:tcW w:w="1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0.63%</w:t>
            </w:r>
          </w:p>
        </w:tc>
      </w:tr>
      <w:tr>
        <w:trPr>
          <w:trHeight w:val="153"/>
        </w:trPr>
        <w:tc>
          <w:tcPr>
            <w:tcW w:w="58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Allowance for credit losses to non-performing loans</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140.42%</w:t>
            </w:r>
          </w:p>
        </w:tc>
        <w:tc>
          <w:tcPr>
            <w:tcW w:w="1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240.77%</w:t>
            </w:r>
          </w:p>
        </w:tc>
      </w:tr>
      <w:tr>
        <w:trPr>
          <w:trHeight w:val="153"/>
        </w:trPr>
        <w:tc>
          <w:tcPr>
            <w:tcW w:w="58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Allowance for credit losses to total loans</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1.38%</w:t>
            </w:r>
          </w:p>
        </w:tc>
        <w:tc>
          <w:tcPr>
            <w:tcW w:w="1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1.51%</w:t>
            </w:r>
          </w:p>
        </w:tc>
      </w:tr>
      <w:tr>
        <w:trPr>
          <w:trHeight w:val="322"/>
        </w:trPr>
        <w:tc>
          <w:tcPr>
            <w:tcW w:w="58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 xml:space="preserve">Capital Ratios </w:t>
            </w:r>
            <w:r>
              <w:rPr>
                <w:rFonts w:ascii="Times New Roman" w:cs="Times New Roman" w:eastAsia="Times New Roman" w:hAnsi="Times New Roman"/>
                <w:sz w:val="11"/>
                <w:szCs w:val="11"/>
                <w:b w:val="1"/>
                <w:bCs w:val="1"/>
                <w:color w:val="auto"/>
                <w:vertAlign w:val="superscript"/>
              </w:rPr>
              <w:t>(5)</w:t>
            </w:r>
            <w:r>
              <w:rPr>
                <w:rFonts w:ascii="Times New Roman" w:cs="Times New Roman" w:eastAsia="Times New Roman" w:hAnsi="Times New Roman"/>
                <w:sz w:val="10"/>
                <w:szCs w:val="10"/>
                <w:b w:val="1"/>
                <w:bCs w:val="1"/>
                <w:color w:val="auto"/>
              </w:rPr>
              <w:t>:</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37"/>
        </w:trPr>
        <w:tc>
          <w:tcPr>
            <w:tcW w:w="58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Total capital (to risk-weighted assets)</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19.24%</w:t>
            </w:r>
          </w:p>
        </w:tc>
        <w:tc>
          <w:tcPr>
            <w:tcW w:w="14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18.03%</w:t>
            </w:r>
          </w:p>
        </w:tc>
      </w:tr>
      <w:tr>
        <w:trPr>
          <w:trHeight w:val="153"/>
        </w:trPr>
        <w:tc>
          <w:tcPr>
            <w:tcW w:w="58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Tier 1 capital (to risk-weighted assets)</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17.99%</w:t>
            </w:r>
          </w:p>
        </w:tc>
        <w:tc>
          <w:tcPr>
            <w:tcW w:w="1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16.78%</w:t>
            </w:r>
          </w:p>
        </w:tc>
      </w:tr>
      <w:tr>
        <w:trPr>
          <w:trHeight w:val="153"/>
        </w:trPr>
        <w:tc>
          <w:tcPr>
            <w:tcW w:w="58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Common equity tier 1 capital (to risk-weighted assets)</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17.99%</w:t>
            </w:r>
          </w:p>
        </w:tc>
        <w:tc>
          <w:tcPr>
            <w:tcW w:w="1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16.78%</w:t>
            </w:r>
          </w:p>
        </w:tc>
      </w:tr>
      <w:tr>
        <w:trPr>
          <w:trHeight w:val="153"/>
        </w:trPr>
        <w:tc>
          <w:tcPr>
            <w:tcW w:w="58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Tier 1 capital (to average assets)</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13.19%</w:t>
            </w:r>
          </w:p>
        </w:tc>
        <w:tc>
          <w:tcPr>
            <w:tcW w:w="1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12.31%</w:t>
            </w:r>
          </w:p>
        </w:tc>
      </w:tr>
    </w:tbl>
    <w:p>
      <w:pPr>
        <w:spacing w:after="0" w:line="11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0"/>
          <w:szCs w:val="10"/>
          <w:u w:val="single" w:color="auto"/>
          <w:color w:val="auto"/>
        </w:rPr>
        <w:t>Notes:</w:t>
      </w:r>
    </w:p>
    <w:p>
      <w:pPr>
        <w:spacing w:after="0" w:line="12" w:lineRule="exact"/>
        <w:rPr>
          <w:sz w:val="20"/>
          <w:szCs w:val="20"/>
          <w:color w:val="auto"/>
        </w:rPr>
      </w:pPr>
    </w:p>
    <w:p>
      <w:pPr>
        <w:ind w:left="82" w:hanging="82"/>
        <w:spacing w:after="0"/>
        <w:tabs>
          <w:tab w:leader="none" w:pos="82" w:val="left"/>
        </w:tabs>
        <w:numPr>
          <w:ilvl w:val="0"/>
          <w:numId w:val="5"/>
        </w:numPr>
        <w:rPr>
          <w:rFonts w:ascii="Times New Roman" w:cs="Times New Roman" w:eastAsia="Times New Roman" w:hAnsi="Times New Roman"/>
          <w:sz w:val="10"/>
          <w:szCs w:val="10"/>
          <w:color w:val="auto"/>
          <w:vertAlign w:val="superscript"/>
        </w:rPr>
      </w:pPr>
      <w:r>
        <w:rPr>
          <w:rFonts w:ascii="Times New Roman" w:cs="Times New Roman" w:eastAsia="Times New Roman" w:hAnsi="Times New Roman"/>
          <w:sz w:val="8"/>
          <w:szCs w:val="8"/>
          <w:color w:val="auto"/>
        </w:rPr>
        <w:t>Annualized for the three and nine months ended September 30, 2026, and 2025, respectively.</w:t>
      </w:r>
    </w:p>
    <w:p>
      <w:pPr>
        <w:spacing w:after="0" w:line="21" w:lineRule="exact"/>
        <w:rPr>
          <w:rFonts w:ascii="Times New Roman" w:cs="Times New Roman" w:eastAsia="Times New Roman" w:hAnsi="Times New Roman"/>
          <w:sz w:val="10"/>
          <w:szCs w:val="10"/>
          <w:color w:val="auto"/>
          <w:vertAlign w:val="superscript"/>
        </w:rPr>
      </w:pPr>
    </w:p>
    <w:p>
      <w:pPr>
        <w:ind w:left="82" w:hanging="82"/>
        <w:spacing w:after="0" w:line="236" w:lineRule="auto"/>
        <w:tabs>
          <w:tab w:leader="none" w:pos="82" w:val="left"/>
        </w:tabs>
        <w:numPr>
          <w:ilvl w:val="0"/>
          <w:numId w:val="5"/>
        </w:numPr>
        <w:rPr>
          <w:rFonts w:ascii="Times New Roman" w:cs="Times New Roman" w:eastAsia="Times New Roman" w:hAnsi="Times New Roman"/>
          <w:sz w:val="10"/>
          <w:szCs w:val="10"/>
          <w:color w:val="auto"/>
          <w:vertAlign w:val="superscript"/>
        </w:rPr>
      </w:pPr>
      <w:r>
        <w:rPr>
          <w:rFonts w:ascii="Times New Roman" w:cs="Times New Roman" w:eastAsia="Times New Roman" w:hAnsi="Times New Roman"/>
          <w:sz w:val="8"/>
          <w:szCs w:val="8"/>
          <w:color w:val="auto"/>
        </w:rPr>
        <w:t>Represents the difference between the weighted-average yield on interest-earning assets and the weighted-average cost of interest-bearing liabilities for the periods.</w:t>
      </w:r>
    </w:p>
    <w:p>
      <w:pPr>
        <w:spacing w:after="0" w:line="12" w:lineRule="exact"/>
        <w:rPr>
          <w:rFonts w:ascii="Times New Roman" w:cs="Times New Roman" w:eastAsia="Times New Roman" w:hAnsi="Times New Roman"/>
          <w:sz w:val="10"/>
          <w:szCs w:val="10"/>
          <w:color w:val="auto"/>
          <w:vertAlign w:val="superscript"/>
        </w:rPr>
      </w:pPr>
    </w:p>
    <w:p>
      <w:pPr>
        <w:ind w:left="82" w:hanging="82"/>
        <w:spacing w:after="0" w:line="236" w:lineRule="auto"/>
        <w:tabs>
          <w:tab w:leader="none" w:pos="82" w:val="left"/>
        </w:tabs>
        <w:numPr>
          <w:ilvl w:val="0"/>
          <w:numId w:val="5"/>
        </w:numPr>
        <w:rPr>
          <w:rFonts w:ascii="Times New Roman" w:cs="Times New Roman" w:eastAsia="Times New Roman" w:hAnsi="Times New Roman"/>
          <w:sz w:val="10"/>
          <w:szCs w:val="10"/>
          <w:color w:val="auto"/>
          <w:vertAlign w:val="superscript"/>
        </w:rPr>
      </w:pPr>
      <w:r>
        <w:rPr>
          <w:rFonts w:ascii="Times New Roman" w:cs="Times New Roman" w:eastAsia="Times New Roman" w:hAnsi="Times New Roman"/>
          <w:sz w:val="8"/>
          <w:szCs w:val="8"/>
          <w:color w:val="auto"/>
        </w:rPr>
        <w:t>The net interest margin represents net interest income as a percent of average interest-earning assets for the periods.</w:t>
      </w:r>
    </w:p>
    <w:p>
      <w:pPr>
        <w:spacing w:after="0" w:line="12" w:lineRule="exact"/>
        <w:rPr>
          <w:rFonts w:ascii="Times New Roman" w:cs="Times New Roman" w:eastAsia="Times New Roman" w:hAnsi="Times New Roman"/>
          <w:sz w:val="10"/>
          <w:szCs w:val="10"/>
          <w:color w:val="auto"/>
          <w:vertAlign w:val="superscript"/>
        </w:rPr>
      </w:pPr>
    </w:p>
    <w:p>
      <w:pPr>
        <w:ind w:left="82" w:hanging="82"/>
        <w:spacing w:after="0" w:line="236" w:lineRule="auto"/>
        <w:tabs>
          <w:tab w:leader="none" w:pos="82" w:val="left"/>
        </w:tabs>
        <w:numPr>
          <w:ilvl w:val="0"/>
          <w:numId w:val="5"/>
        </w:numPr>
        <w:rPr>
          <w:rFonts w:ascii="Times New Roman" w:cs="Times New Roman" w:eastAsia="Times New Roman" w:hAnsi="Times New Roman"/>
          <w:sz w:val="10"/>
          <w:szCs w:val="10"/>
          <w:color w:val="auto"/>
          <w:vertAlign w:val="superscript"/>
        </w:rPr>
      </w:pPr>
      <w:r>
        <w:rPr>
          <w:rFonts w:ascii="Times New Roman" w:cs="Times New Roman" w:eastAsia="Times New Roman" w:hAnsi="Times New Roman"/>
          <w:sz w:val="8"/>
          <w:szCs w:val="8"/>
          <w:color w:val="auto"/>
        </w:rPr>
        <w:t>The dividend payout ratio represents dividends paid per share divided by net income per share.</w:t>
      </w:r>
    </w:p>
    <w:p>
      <w:pPr>
        <w:spacing w:after="0" w:line="12" w:lineRule="exact"/>
        <w:rPr>
          <w:rFonts w:ascii="Times New Roman" w:cs="Times New Roman" w:eastAsia="Times New Roman" w:hAnsi="Times New Roman"/>
          <w:sz w:val="10"/>
          <w:szCs w:val="10"/>
          <w:color w:val="auto"/>
          <w:vertAlign w:val="superscript"/>
        </w:rPr>
      </w:pPr>
    </w:p>
    <w:p>
      <w:pPr>
        <w:ind w:left="82" w:hanging="82"/>
        <w:spacing w:after="0" w:line="236" w:lineRule="auto"/>
        <w:tabs>
          <w:tab w:leader="none" w:pos="82" w:val="left"/>
        </w:tabs>
        <w:numPr>
          <w:ilvl w:val="0"/>
          <w:numId w:val="5"/>
        </w:numPr>
        <w:rPr>
          <w:rFonts w:ascii="Times New Roman" w:cs="Times New Roman" w:eastAsia="Times New Roman" w:hAnsi="Times New Roman"/>
          <w:sz w:val="10"/>
          <w:szCs w:val="10"/>
          <w:color w:val="auto"/>
          <w:vertAlign w:val="superscript"/>
        </w:rPr>
      </w:pPr>
      <w:r>
        <w:rPr>
          <w:rFonts w:ascii="Times New Roman" w:cs="Times New Roman" w:eastAsia="Times New Roman" w:hAnsi="Times New Roman"/>
          <w:sz w:val="8"/>
          <w:szCs w:val="8"/>
          <w:color w:val="auto"/>
        </w:rPr>
        <w:t>Ratios are for Bank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89535</wp:posOffset>
            </wp:positionV>
            <wp:extent cx="720344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62"/>
          </w:cols>
          <w:pgMar w:left="638" w:top="125" w:right="1099" w:bottom="1440" w:gutter="0" w:footer="0" w:header="0"/>
        </w:sectPr>
      </w:pPr>
    </w:p>
    <w:bookmarkStart w:id="14" w:name="page15"/>
    <w:bookmarkEnd w:id="14"/>
    <w:p>
      <w:pPr>
        <w:jc w:val="center"/>
        <w:ind w:right="338"/>
        <w:spacing w:after="0"/>
        <w:rPr>
          <w:sz w:val="20"/>
          <w:szCs w:val="20"/>
          <w:color w:val="auto"/>
        </w:rPr>
      </w:pPr>
      <w:r>
        <w:rPr>
          <w:rFonts w:ascii="Times New Roman" w:cs="Times New Roman" w:eastAsia="Times New Roman" w:hAnsi="Times New Roman"/>
          <w:sz w:val="12"/>
          <w:szCs w:val="12"/>
          <w:b w:val="1"/>
          <w:bCs w:val="1"/>
          <w:color w:val="auto"/>
        </w:rPr>
        <w:t>ORANGE COUNTY BANCORP, INC.</w:t>
      </w:r>
    </w:p>
    <w:p>
      <w:pPr>
        <w:spacing w:after="0" w:line="21" w:lineRule="exact"/>
        <w:rPr>
          <w:sz w:val="20"/>
          <w:szCs w:val="20"/>
          <w:color w:val="auto"/>
        </w:rPr>
      </w:pPr>
    </w:p>
    <w:p>
      <w:pPr>
        <w:jc w:val="center"/>
        <w:ind w:right="338"/>
        <w:spacing w:after="0"/>
        <w:rPr>
          <w:sz w:val="20"/>
          <w:szCs w:val="20"/>
          <w:color w:val="auto"/>
        </w:rPr>
      </w:pPr>
      <w:r>
        <w:rPr>
          <w:rFonts w:ascii="Times New Roman" w:cs="Times New Roman" w:eastAsia="Times New Roman" w:hAnsi="Times New Roman"/>
          <w:sz w:val="12"/>
          <w:szCs w:val="12"/>
          <w:b w:val="1"/>
          <w:bCs w:val="1"/>
          <w:color w:val="auto"/>
        </w:rPr>
        <w:t>SELECTED OPERATING DATA</w:t>
      </w:r>
    </w:p>
    <w:p>
      <w:pPr>
        <w:spacing w:after="0" w:line="6" w:lineRule="exact"/>
        <w:rPr>
          <w:sz w:val="20"/>
          <w:szCs w:val="20"/>
          <w:color w:val="auto"/>
        </w:rPr>
      </w:pPr>
    </w:p>
    <w:p>
      <w:pPr>
        <w:jc w:val="center"/>
        <w:ind w:right="338"/>
        <w:spacing w:after="0"/>
        <w:rPr>
          <w:sz w:val="20"/>
          <w:szCs w:val="20"/>
          <w:color w:val="auto"/>
        </w:rPr>
      </w:pPr>
      <w:r>
        <w:rPr>
          <w:rFonts w:ascii="Times New Roman" w:cs="Times New Roman" w:eastAsia="Times New Roman" w:hAnsi="Times New Roman"/>
          <w:sz w:val="12"/>
          <w:szCs w:val="12"/>
          <w:b w:val="1"/>
          <w:bCs w:val="1"/>
          <w:color w:val="auto"/>
        </w:rPr>
        <w:t>(UNAUDITED)</w:t>
      </w:r>
    </w:p>
    <w:p>
      <w:pPr>
        <w:jc w:val="center"/>
        <w:ind w:right="338"/>
        <w:spacing w:after="0"/>
        <w:rPr>
          <w:sz w:val="20"/>
          <w:szCs w:val="20"/>
          <w:color w:val="auto"/>
        </w:rPr>
      </w:pPr>
      <w:r>
        <w:rPr>
          <w:rFonts w:ascii="Times New Roman" w:cs="Times New Roman" w:eastAsia="Times New Roman" w:hAnsi="Times New Roman"/>
          <w:sz w:val="10"/>
          <w:szCs w:val="10"/>
          <w:color w:val="auto"/>
        </w:rPr>
        <w:t>(Dollar amounts in thousands except per share data)</w:t>
      </w:r>
    </w:p>
    <w:p>
      <w:pPr>
        <w:spacing w:after="0" w:line="217" w:lineRule="exact"/>
        <w:rPr>
          <w:sz w:val="20"/>
          <w:szCs w:val="20"/>
          <w:color w:val="auto"/>
        </w:rPr>
      </w:pPr>
    </w:p>
    <w:tbl>
      <w:tblPr>
        <w:tblLayout w:type="fixed"/>
        <w:tblInd w:w="222" w:type="dxa"/>
        <w:tblCellMar>
          <w:top w:w="0" w:type="dxa"/>
          <w:left w:w="0" w:type="dxa"/>
          <w:bottom w:w="0" w:type="dxa"/>
          <w:right w:w="0" w:type="dxa"/>
        </w:tblCellMar>
      </w:tblPr>
      <w:tr>
        <w:trPr>
          <w:trHeight w:val="115"/>
        </w:trPr>
        <w:tc>
          <w:tcPr>
            <w:tcW w:w="4500" w:type="dxa"/>
            <w:vAlign w:val="bottom"/>
          </w:tcPr>
          <w:p>
            <w:pPr>
              <w:spacing w:after="0"/>
              <w:rPr>
                <w:sz w:val="10"/>
                <w:szCs w:val="10"/>
                <w:color w:val="auto"/>
              </w:rPr>
            </w:pPr>
          </w:p>
        </w:tc>
        <w:tc>
          <w:tcPr>
            <w:tcW w:w="22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0"/>
                <w:szCs w:val="10"/>
                <w:b w:val="1"/>
                <w:bCs w:val="1"/>
                <w:color w:val="auto"/>
              </w:rPr>
              <w:t>Three Months Ended September 30,</w:t>
            </w:r>
          </w:p>
        </w:tc>
        <w:tc>
          <w:tcPr>
            <w:tcW w:w="5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95"/>
              </w:rPr>
              <w:t>Nine Months Ended September 30,</w:t>
            </w:r>
          </w:p>
        </w:tc>
        <w:tc>
          <w:tcPr>
            <w:tcW w:w="5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5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Interest income</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2026</w:t>
            </w:r>
          </w:p>
        </w:tc>
        <w:tc>
          <w:tcPr>
            <w:tcW w:w="5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2025</w:t>
            </w:r>
          </w:p>
        </w:tc>
        <w:tc>
          <w:tcPr>
            <w:tcW w:w="5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2026</w:t>
            </w:r>
          </w:p>
        </w:tc>
        <w:tc>
          <w:tcPr>
            <w:tcW w:w="56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2025</w:t>
            </w:r>
          </w:p>
        </w:tc>
        <w:tc>
          <w:tcPr>
            <w:tcW w:w="5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500" w:type="dxa"/>
            <w:vAlign w:val="bottom"/>
            <w:vMerge w:val="continue"/>
          </w:tcPr>
          <w:p>
            <w:pPr>
              <w:spacing w:after="0"/>
              <w:rPr>
                <w:sz w:val="9"/>
                <w:szCs w:val="9"/>
                <w:color w:val="auto"/>
              </w:rPr>
            </w:pPr>
          </w:p>
        </w:tc>
        <w:tc>
          <w:tcPr>
            <w:tcW w:w="780" w:type="dxa"/>
            <w:vAlign w:val="bottom"/>
          </w:tcPr>
          <w:p>
            <w:pPr>
              <w:jc w:val="right"/>
              <w:ind w:right="668"/>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36,206</w:t>
            </w:r>
          </w:p>
        </w:tc>
        <w:tc>
          <w:tcPr>
            <w:tcW w:w="140" w:type="dxa"/>
            <w:vAlign w:val="bottom"/>
          </w:tcPr>
          <w:p>
            <w:pPr>
              <w:spacing w:after="0"/>
              <w:rPr>
                <w:sz w:val="9"/>
                <w:szCs w:val="9"/>
                <w:color w:val="auto"/>
              </w:rPr>
            </w:pPr>
          </w:p>
        </w:tc>
        <w:tc>
          <w:tcPr>
            <w:tcW w:w="760" w:type="dxa"/>
            <w:vAlign w:val="bottom"/>
          </w:tcPr>
          <w:p>
            <w:pPr>
              <w:jc w:val="right"/>
              <w:ind w:right="648"/>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34,528</w:t>
            </w:r>
          </w:p>
        </w:tc>
        <w:tc>
          <w:tcPr>
            <w:tcW w:w="140" w:type="dxa"/>
            <w:vAlign w:val="bottom"/>
          </w:tcPr>
          <w:p>
            <w:pPr>
              <w:spacing w:after="0"/>
              <w:rPr>
                <w:sz w:val="9"/>
                <w:szCs w:val="9"/>
                <w:color w:val="auto"/>
              </w:rPr>
            </w:pPr>
          </w:p>
        </w:tc>
        <w:tc>
          <w:tcPr>
            <w:tcW w:w="740" w:type="dxa"/>
            <w:vAlign w:val="bottom"/>
          </w:tcPr>
          <w:p>
            <w:pPr>
              <w:jc w:val="right"/>
              <w:ind w:right="628"/>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105,175</w:t>
            </w:r>
          </w:p>
        </w:tc>
        <w:tc>
          <w:tcPr>
            <w:tcW w:w="180" w:type="dxa"/>
            <w:vAlign w:val="bottom"/>
          </w:tcPr>
          <w:p>
            <w:pPr>
              <w:spacing w:after="0"/>
              <w:rPr>
                <w:sz w:val="9"/>
                <w:szCs w:val="9"/>
                <w:color w:val="auto"/>
              </w:rPr>
            </w:pPr>
          </w:p>
        </w:tc>
        <w:tc>
          <w:tcPr>
            <w:tcW w:w="760" w:type="dxa"/>
            <w:vAlign w:val="bottom"/>
          </w:tcPr>
          <w:p>
            <w:pPr>
              <w:jc w:val="right"/>
              <w:ind w:right="648"/>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99,659</w:t>
            </w:r>
          </w:p>
        </w:tc>
        <w:tc>
          <w:tcPr>
            <w:tcW w:w="0" w:type="dxa"/>
            <w:vAlign w:val="bottom"/>
          </w:tcPr>
          <w:p>
            <w:pPr>
              <w:spacing w:after="0"/>
              <w:rPr>
                <w:sz w:val="1"/>
                <w:szCs w:val="1"/>
                <w:color w:val="auto"/>
              </w:rPr>
            </w:pPr>
          </w:p>
        </w:tc>
      </w:tr>
      <w:tr>
        <w:trPr>
          <w:trHeight w:val="140"/>
        </w:trPr>
        <w:tc>
          <w:tcPr>
            <w:tcW w:w="4500" w:type="dxa"/>
            <w:vAlign w:val="bottom"/>
          </w:tcPr>
          <w:p>
            <w:pPr>
              <w:spacing w:after="0"/>
              <w:rPr>
                <w:sz w:val="20"/>
                <w:szCs w:val="20"/>
                <w:color w:val="auto"/>
              </w:rPr>
            </w:pPr>
            <w:r>
              <w:rPr>
                <w:rFonts w:ascii="Times New Roman" w:cs="Times New Roman" w:eastAsia="Times New Roman" w:hAnsi="Times New Roman"/>
                <w:sz w:val="11"/>
                <w:szCs w:val="11"/>
                <w:color w:val="auto"/>
              </w:rPr>
              <w:t>Interest expense</w:t>
            </w:r>
          </w:p>
        </w:tc>
        <w:tc>
          <w:tcPr>
            <w:tcW w:w="7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6,285</w:t>
            </w:r>
          </w:p>
        </w:tc>
        <w:tc>
          <w:tcPr>
            <w:tcW w:w="14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7,581</w:t>
            </w:r>
          </w:p>
        </w:tc>
        <w:tc>
          <w:tcPr>
            <w:tcW w:w="14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18,931</w:t>
            </w:r>
          </w:p>
        </w:tc>
        <w:tc>
          <w:tcPr>
            <w:tcW w:w="18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23,944</w:t>
            </w:r>
          </w:p>
        </w:tc>
        <w:tc>
          <w:tcPr>
            <w:tcW w:w="0" w:type="dxa"/>
            <w:vAlign w:val="bottom"/>
          </w:tcPr>
          <w:p>
            <w:pPr>
              <w:spacing w:after="0"/>
              <w:rPr>
                <w:sz w:val="1"/>
                <w:szCs w:val="1"/>
                <w:color w:val="auto"/>
              </w:rPr>
            </w:pPr>
          </w:p>
        </w:tc>
      </w:tr>
      <w:tr>
        <w:trPr>
          <w:trHeight w:val="119"/>
        </w:trPr>
        <w:tc>
          <w:tcPr>
            <w:tcW w:w="450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Net interest income</w:t>
            </w:r>
          </w:p>
        </w:tc>
        <w:tc>
          <w:tcPr>
            <w:tcW w:w="780" w:type="dxa"/>
            <w:vAlign w:val="bottom"/>
          </w:tcPr>
          <w:p>
            <w:pPr>
              <w:spacing w:after="0"/>
              <w:rPr>
                <w:sz w:val="10"/>
                <w:szCs w:val="10"/>
                <w:color w:val="auto"/>
              </w:rPr>
            </w:pPr>
          </w:p>
        </w:tc>
        <w:tc>
          <w:tcPr>
            <w:tcW w:w="5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29,921</w:t>
            </w: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26,947</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86,244</w:t>
            </w: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75,715</w:t>
            </w:r>
          </w:p>
        </w:tc>
        <w:tc>
          <w:tcPr>
            <w:tcW w:w="0" w:type="dxa"/>
            <w:vAlign w:val="bottom"/>
          </w:tcPr>
          <w:p>
            <w:pPr>
              <w:spacing w:after="0"/>
              <w:rPr>
                <w:sz w:val="1"/>
                <w:szCs w:val="1"/>
                <w:color w:val="auto"/>
              </w:rPr>
            </w:pPr>
          </w:p>
        </w:tc>
      </w:tr>
      <w:tr>
        <w:trPr>
          <w:trHeight w:val="140"/>
        </w:trPr>
        <w:tc>
          <w:tcPr>
            <w:tcW w:w="4500" w:type="dxa"/>
            <w:vAlign w:val="bottom"/>
          </w:tcPr>
          <w:p>
            <w:pPr>
              <w:spacing w:after="0"/>
              <w:rPr>
                <w:sz w:val="20"/>
                <w:szCs w:val="20"/>
                <w:color w:val="auto"/>
              </w:rPr>
            </w:pPr>
            <w:r>
              <w:rPr>
                <w:rFonts w:ascii="Times New Roman" w:cs="Times New Roman" w:eastAsia="Times New Roman" w:hAnsi="Times New Roman"/>
                <w:sz w:val="11"/>
                <w:szCs w:val="11"/>
                <w:color w:val="auto"/>
              </w:rPr>
              <w:t>Provision (credit) for credit losses</w:t>
            </w:r>
          </w:p>
        </w:tc>
        <w:tc>
          <w:tcPr>
            <w:tcW w:w="7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809</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3,876</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(641)</w:t>
            </w:r>
          </w:p>
        </w:tc>
        <w:tc>
          <w:tcPr>
            <w:tcW w:w="7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6,191</w:t>
            </w:r>
          </w:p>
        </w:tc>
        <w:tc>
          <w:tcPr>
            <w:tcW w:w="0" w:type="dxa"/>
            <w:vAlign w:val="bottom"/>
          </w:tcPr>
          <w:p>
            <w:pPr>
              <w:spacing w:after="0"/>
              <w:rPr>
                <w:sz w:val="1"/>
                <w:szCs w:val="1"/>
                <w:color w:val="auto"/>
              </w:rPr>
            </w:pPr>
          </w:p>
        </w:tc>
      </w:tr>
      <w:tr>
        <w:trPr>
          <w:trHeight w:val="119"/>
        </w:trPr>
        <w:tc>
          <w:tcPr>
            <w:tcW w:w="450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Net interest income after provision (credit) for credit losses</w:t>
            </w:r>
          </w:p>
        </w:tc>
        <w:tc>
          <w:tcPr>
            <w:tcW w:w="7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29,112</w:t>
            </w:r>
          </w:p>
        </w:tc>
        <w:tc>
          <w:tcPr>
            <w:tcW w:w="14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23,071</w:t>
            </w:r>
          </w:p>
        </w:tc>
        <w:tc>
          <w:tcPr>
            <w:tcW w:w="14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86,885</w:t>
            </w:r>
          </w:p>
        </w:tc>
        <w:tc>
          <w:tcPr>
            <w:tcW w:w="18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69,524</w:t>
            </w:r>
          </w:p>
        </w:tc>
        <w:tc>
          <w:tcPr>
            <w:tcW w:w="0" w:type="dxa"/>
            <w:vAlign w:val="bottom"/>
          </w:tcPr>
          <w:p>
            <w:pPr>
              <w:spacing w:after="0"/>
              <w:rPr>
                <w:sz w:val="1"/>
                <w:szCs w:val="1"/>
                <w:color w:val="auto"/>
              </w:rPr>
            </w:pPr>
          </w:p>
        </w:tc>
      </w:tr>
      <w:tr>
        <w:trPr>
          <w:trHeight w:val="135"/>
        </w:trPr>
        <w:tc>
          <w:tcPr>
            <w:tcW w:w="4500" w:type="dxa"/>
            <w:vAlign w:val="bottom"/>
          </w:tcPr>
          <w:p>
            <w:pPr>
              <w:spacing w:after="0"/>
              <w:rPr>
                <w:sz w:val="20"/>
                <w:szCs w:val="20"/>
                <w:color w:val="auto"/>
              </w:rPr>
            </w:pPr>
            <w:r>
              <w:rPr>
                <w:rFonts w:ascii="Times New Roman" w:cs="Times New Roman" w:eastAsia="Times New Roman" w:hAnsi="Times New Roman"/>
                <w:sz w:val="11"/>
                <w:szCs w:val="11"/>
                <w:color w:val="auto"/>
              </w:rPr>
              <w:t>Noninterest income</w:t>
            </w:r>
          </w:p>
        </w:tc>
        <w:tc>
          <w:tcPr>
            <w:tcW w:w="7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5,374</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6,787</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8,944</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18,460</w:t>
            </w:r>
          </w:p>
        </w:tc>
        <w:tc>
          <w:tcPr>
            <w:tcW w:w="0" w:type="dxa"/>
            <w:vAlign w:val="bottom"/>
          </w:tcPr>
          <w:p>
            <w:pPr>
              <w:spacing w:after="0"/>
              <w:rPr>
                <w:sz w:val="1"/>
                <w:szCs w:val="1"/>
                <w:color w:val="auto"/>
              </w:rPr>
            </w:pPr>
          </w:p>
        </w:tc>
      </w:tr>
      <w:tr>
        <w:trPr>
          <w:trHeight w:val="140"/>
        </w:trPr>
        <w:tc>
          <w:tcPr>
            <w:tcW w:w="4500" w:type="dxa"/>
            <w:vAlign w:val="bottom"/>
          </w:tcPr>
          <w:p>
            <w:pPr>
              <w:spacing w:after="0"/>
              <w:rPr>
                <w:sz w:val="20"/>
                <w:szCs w:val="20"/>
                <w:color w:val="auto"/>
              </w:rPr>
            </w:pPr>
            <w:r>
              <w:rPr>
                <w:rFonts w:ascii="Times New Roman" w:cs="Times New Roman" w:eastAsia="Times New Roman" w:hAnsi="Times New Roman"/>
                <w:sz w:val="11"/>
                <w:szCs w:val="11"/>
                <w:color w:val="auto"/>
              </w:rPr>
              <w:t>Noninterest expenses</w:t>
            </w:r>
          </w:p>
        </w:tc>
        <w:tc>
          <w:tcPr>
            <w:tcW w:w="7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17,231</w:t>
            </w:r>
          </w:p>
        </w:tc>
        <w:tc>
          <w:tcPr>
            <w:tcW w:w="14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16,840</w:t>
            </w:r>
          </w:p>
        </w:tc>
        <w:tc>
          <w:tcPr>
            <w:tcW w:w="14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52,424</w:t>
            </w:r>
          </w:p>
        </w:tc>
        <w:tc>
          <w:tcPr>
            <w:tcW w:w="18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50,089</w:t>
            </w:r>
          </w:p>
        </w:tc>
        <w:tc>
          <w:tcPr>
            <w:tcW w:w="0" w:type="dxa"/>
            <w:vAlign w:val="bottom"/>
          </w:tcPr>
          <w:p>
            <w:pPr>
              <w:spacing w:after="0"/>
              <w:rPr>
                <w:sz w:val="1"/>
                <w:szCs w:val="1"/>
                <w:color w:val="auto"/>
              </w:rPr>
            </w:pPr>
          </w:p>
        </w:tc>
      </w:tr>
      <w:tr>
        <w:trPr>
          <w:trHeight w:val="119"/>
        </w:trPr>
        <w:tc>
          <w:tcPr>
            <w:tcW w:w="450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Income before income taxes</w:t>
            </w:r>
          </w:p>
        </w:tc>
        <w:tc>
          <w:tcPr>
            <w:tcW w:w="780" w:type="dxa"/>
            <w:vAlign w:val="bottom"/>
          </w:tcPr>
          <w:p>
            <w:pPr>
              <w:spacing w:after="0"/>
              <w:rPr>
                <w:sz w:val="10"/>
                <w:szCs w:val="10"/>
                <w:color w:val="auto"/>
              </w:rPr>
            </w:pPr>
          </w:p>
        </w:tc>
        <w:tc>
          <w:tcPr>
            <w:tcW w:w="5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17,255</w:t>
            </w: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13,018</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43,405</w:t>
            </w: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37,895</w:t>
            </w:r>
          </w:p>
        </w:tc>
        <w:tc>
          <w:tcPr>
            <w:tcW w:w="0" w:type="dxa"/>
            <w:vAlign w:val="bottom"/>
          </w:tcPr>
          <w:p>
            <w:pPr>
              <w:spacing w:after="0"/>
              <w:rPr>
                <w:sz w:val="1"/>
                <w:szCs w:val="1"/>
                <w:color w:val="auto"/>
              </w:rPr>
            </w:pPr>
          </w:p>
        </w:tc>
      </w:tr>
      <w:tr>
        <w:trPr>
          <w:trHeight w:val="140"/>
        </w:trPr>
        <w:tc>
          <w:tcPr>
            <w:tcW w:w="4500" w:type="dxa"/>
            <w:vAlign w:val="bottom"/>
          </w:tcPr>
          <w:p>
            <w:pPr>
              <w:spacing w:after="0"/>
              <w:rPr>
                <w:sz w:val="20"/>
                <w:szCs w:val="20"/>
                <w:color w:val="auto"/>
              </w:rPr>
            </w:pPr>
            <w:r>
              <w:rPr>
                <w:rFonts w:ascii="Times New Roman" w:cs="Times New Roman" w:eastAsia="Times New Roman" w:hAnsi="Times New Roman"/>
                <w:sz w:val="11"/>
                <w:szCs w:val="11"/>
                <w:color w:val="auto"/>
              </w:rPr>
              <w:t>Provision for income taxes</w:t>
            </w:r>
          </w:p>
        </w:tc>
        <w:tc>
          <w:tcPr>
            <w:tcW w:w="7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4,769</w:t>
            </w:r>
          </w:p>
        </w:tc>
        <w:tc>
          <w:tcPr>
            <w:tcW w:w="14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2,999</w:t>
            </w:r>
          </w:p>
        </w:tc>
        <w:tc>
          <w:tcPr>
            <w:tcW w:w="14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5,976</w:t>
            </w:r>
          </w:p>
        </w:tc>
        <w:tc>
          <w:tcPr>
            <w:tcW w:w="18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8,711</w:t>
            </w:r>
          </w:p>
        </w:tc>
        <w:tc>
          <w:tcPr>
            <w:tcW w:w="0" w:type="dxa"/>
            <w:vAlign w:val="bottom"/>
          </w:tcPr>
          <w:p>
            <w:pPr>
              <w:spacing w:after="0"/>
              <w:rPr>
                <w:sz w:val="1"/>
                <w:szCs w:val="1"/>
                <w:color w:val="auto"/>
              </w:rPr>
            </w:pPr>
          </w:p>
        </w:tc>
      </w:tr>
      <w:tr>
        <w:trPr>
          <w:trHeight w:val="135"/>
        </w:trPr>
        <w:tc>
          <w:tcPr>
            <w:tcW w:w="4500" w:type="dxa"/>
            <w:vAlign w:val="bottom"/>
          </w:tcPr>
          <w:p>
            <w:pPr>
              <w:spacing w:after="0"/>
              <w:rPr>
                <w:sz w:val="20"/>
                <w:szCs w:val="20"/>
                <w:color w:val="auto"/>
              </w:rPr>
            </w:pPr>
            <w:r>
              <w:rPr>
                <w:rFonts w:ascii="Times New Roman" w:cs="Times New Roman" w:eastAsia="Times New Roman" w:hAnsi="Times New Roman"/>
                <w:sz w:val="11"/>
                <w:szCs w:val="11"/>
                <w:color w:val="auto"/>
              </w:rPr>
              <w:t>Net income</w:t>
            </w:r>
          </w:p>
        </w:tc>
        <w:tc>
          <w:tcPr>
            <w:tcW w:w="78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12,486</w:t>
            </w:r>
          </w:p>
        </w:tc>
        <w:tc>
          <w:tcPr>
            <w:tcW w:w="140" w:type="dxa"/>
            <w:vAlign w:val="bottom"/>
          </w:tcPr>
          <w:p>
            <w:pPr>
              <w:spacing w:after="0"/>
              <w:rPr>
                <w:sz w:val="11"/>
                <w:szCs w:val="11"/>
                <w:color w:val="auto"/>
              </w:rPr>
            </w:pPr>
          </w:p>
        </w:tc>
        <w:tc>
          <w:tcPr>
            <w:tcW w:w="76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10,019</w:t>
            </w:r>
          </w:p>
        </w:tc>
        <w:tc>
          <w:tcPr>
            <w:tcW w:w="140" w:type="dxa"/>
            <w:vAlign w:val="bottom"/>
          </w:tcPr>
          <w:p>
            <w:pPr>
              <w:spacing w:after="0"/>
              <w:rPr>
                <w:sz w:val="11"/>
                <w:szCs w:val="11"/>
                <w:color w:val="auto"/>
              </w:rPr>
            </w:pPr>
          </w:p>
        </w:tc>
        <w:tc>
          <w:tcPr>
            <w:tcW w:w="74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37,429</w:t>
            </w:r>
          </w:p>
        </w:tc>
        <w:tc>
          <w:tcPr>
            <w:tcW w:w="180" w:type="dxa"/>
            <w:vAlign w:val="bottom"/>
          </w:tcPr>
          <w:p>
            <w:pPr>
              <w:spacing w:after="0"/>
              <w:rPr>
                <w:sz w:val="11"/>
                <w:szCs w:val="11"/>
                <w:color w:val="auto"/>
              </w:rPr>
            </w:pPr>
          </w:p>
        </w:tc>
        <w:tc>
          <w:tcPr>
            <w:tcW w:w="76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29,184</w:t>
            </w:r>
          </w:p>
        </w:tc>
        <w:tc>
          <w:tcPr>
            <w:tcW w:w="0" w:type="dxa"/>
            <w:vAlign w:val="bottom"/>
          </w:tcPr>
          <w:p>
            <w:pPr>
              <w:spacing w:after="0"/>
              <w:rPr>
                <w:sz w:val="1"/>
                <w:szCs w:val="1"/>
                <w:color w:val="auto"/>
              </w:rPr>
            </w:pPr>
          </w:p>
        </w:tc>
      </w:tr>
      <w:tr>
        <w:trPr>
          <w:trHeight w:val="261"/>
        </w:trPr>
        <w:tc>
          <w:tcPr>
            <w:tcW w:w="4500" w:type="dxa"/>
            <w:vAlign w:val="bottom"/>
          </w:tcPr>
          <w:p>
            <w:pPr>
              <w:spacing w:after="0"/>
              <w:rPr>
                <w:sz w:val="20"/>
                <w:szCs w:val="20"/>
                <w:color w:val="auto"/>
              </w:rPr>
            </w:pPr>
            <w:r>
              <w:rPr>
                <w:rFonts w:ascii="Times New Roman" w:cs="Times New Roman" w:eastAsia="Times New Roman" w:hAnsi="Times New Roman"/>
                <w:sz w:val="11"/>
                <w:szCs w:val="11"/>
                <w:color w:val="auto"/>
              </w:rPr>
              <w:t>Basic and diluted earnings per share</w:t>
            </w:r>
          </w:p>
        </w:tc>
        <w:tc>
          <w:tcPr>
            <w:tcW w:w="780" w:type="dxa"/>
            <w:vAlign w:val="bottom"/>
          </w:tcPr>
          <w:p>
            <w:pPr>
              <w:jc w:val="right"/>
              <w:ind w:right="668"/>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0.93</w:t>
            </w:r>
          </w:p>
        </w:tc>
        <w:tc>
          <w:tcPr>
            <w:tcW w:w="140" w:type="dxa"/>
            <w:vAlign w:val="bottom"/>
          </w:tcPr>
          <w:p>
            <w:pPr>
              <w:spacing w:after="0"/>
              <w:rPr>
                <w:sz w:val="22"/>
                <w:szCs w:val="22"/>
                <w:color w:val="auto"/>
              </w:rPr>
            </w:pPr>
          </w:p>
        </w:tc>
        <w:tc>
          <w:tcPr>
            <w:tcW w:w="760" w:type="dxa"/>
            <w:vAlign w:val="bottom"/>
          </w:tcPr>
          <w:p>
            <w:pPr>
              <w:jc w:val="right"/>
              <w:ind w:right="648"/>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0.75</w:t>
            </w:r>
          </w:p>
        </w:tc>
        <w:tc>
          <w:tcPr>
            <w:tcW w:w="140" w:type="dxa"/>
            <w:vAlign w:val="bottom"/>
          </w:tcPr>
          <w:p>
            <w:pPr>
              <w:spacing w:after="0"/>
              <w:rPr>
                <w:sz w:val="22"/>
                <w:szCs w:val="22"/>
                <w:color w:val="auto"/>
              </w:rPr>
            </w:pPr>
          </w:p>
        </w:tc>
        <w:tc>
          <w:tcPr>
            <w:tcW w:w="740" w:type="dxa"/>
            <w:vAlign w:val="bottom"/>
          </w:tcPr>
          <w:p>
            <w:pPr>
              <w:jc w:val="right"/>
              <w:ind w:right="628"/>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2.80</w:t>
            </w:r>
          </w:p>
        </w:tc>
        <w:tc>
          <w:tcPr>
            <w:tcW w:w="180" w:type="dxa"/>
            <w:vAlign w:val="bottom"/>
          </w:tcPr>
          <w:p>
            <w:pPr>
              <w:spacing w:after="0"/>
              <w:rPr>
                <w:sz w:val="22"/>
                <w:szCs w:val="22"/>
                <w:color w:val="auto"/>
              </w:rPr>
            </w:pPr>
          </w:p>
        </w:tc>
        <w:tc>
          <w:tcPr>
            <w:tcW w:w="760" w:type="dxa"/>
            <w:vAlign w:val="bottom"/>
          </w:tcPr>
          <w:p>
            <w:pPr>
              <w:jc w:val="right"/>
              <w:ind w:right="648"/>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2.39</w:t>
            </w:r>
          </w:p>
        </w:tc>
        <w:tc>
          <w:tcPr>
            <w:tcW w:w="0" w:type="dxa"/>
            <w:vAlign w:val="bottom"/>
          </w:tcPr>
          <w:p>
            <w:pPr>
              <w:spacing w:after="0"/>
              <w:rPr>
                <w:sz w:val="1"/>
                <w:szCs w:val="1"/>
                <w:color w:val="auto"/>
              </w:rPr>
            </w:pPr>
          </w:p>
        </w:tc>
      </w:tr>
      <w:tr>
        <w:trPr>
          <w:trHeight w:val="140"/>
        </w:trPr>
        <w:tc>
          <w:tcPr>
            <w:tcW w:w="4500" w:type="dxa"/>
            <w:vAlign w:val="bottom"/>
          </w:tcPr>
          <w:p>
            <w:pPr>
              <w:spacing w:after="0"/>
              <w:rPr>
                <w:sz w:val="20"/>
                <w:szCs w:val="20"/>
                <w:color w:val="auto"/>
              </w:rPr>
            </w:pPr>
            <w:r>
              <w:rPr>
                <w:rFonts w:ascii="Times New Roman" w:cs="Times New Roman" w:eastAsia="Times New Roman" w:hAnsi="Times New Roman"/>
                <w:sz w:val="11"/>
                <w:szCs w:val="11"/>
                <w:color w:val="auto"/>
              </w:rPr>
              <w:t>Weighted average common shares outstanding</w:t>
            </w:r>
          </w:p>
        </w:tc>
        <w:tc>
          <w:tcPr>
            <w:tcW w:w="7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6"/>
              </w:rPr>
              <w:t>13,383,550</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6"/>
              </w:rPr>
              <w:t>13,337,890</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13,372,387</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6"/>
              </w:rPr>
              <w:t>12,228,878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942"/>
          </w:cols>
          <w:pgMar w:left="638" w:top="125" w:right="319" w:bottom="1440" w:gutter="0" w:footer="0" w:header="0"/>
        </w:sectPr>
      </w:pPr>
    </w:p>
    <w:p>
      <w:pPr>
        <w:spacing w:after="0" w:line="94" w:lineRule="exact"/>
        <w:rPr>
          <w:sz w:val="20"/>
          <w:szCs w:val="20"/>
          <w:color w:val="auto"/>
        </w:rPr>
      </w:pPr>
    </w:p>
    <w:p>
      <w:pPr>
        <w:jc w:val="center"/>
        <w:ind w:left="4982"/>
        <w:spacing w:after="0"/>
        <w:rPr>
          <w:sz w:val="20"/>
          <w:szCs w:val="20"/>
          <w:color w:val="auto"/>
        </w:rPr>
      </w:pPr>
      <w:r>
        <w:rPr>
          <w:rFonts w:ascii="Times New Roman" w:cs="Times New Roman" w:eastAsia="Times New Roman" w:hAnsi="Times New Roman"/>
          <w:sz w:val="8"/>
          <w:szCs w:val="8"/>
          <w:b w:val="1"/>
          <w:bCs w:val="1"/>
          <w:color w:val="auto"/>
        </w:rPr>
        <w:t>At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3003550</wp:posOffset>
            </wp:positionH>
            <wp:positionV relativeFrom="paragraph">
              <wp:posOffset>14605</wp:posOffset>
            </wp:positionV>
            <wp:extent cx="828675"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8675" cy="5715"/>
                    </a:xfrm>
                    <a:prstGeom prst="rect">
                      <a:avLst/>
                    </a:prstGeom>
                    <a:noFill/>
                  </pic:spPr>
                </pic:pic>
              </a:graphicData>
            </a:graphic>
          </wp:anchor>
        </w:drawing>
      </w:r>
    </w:p>
    <w:p>
      <w:pPr>
        <w:spacing w:after="0" w:line="23" w:lineRule="exact"/>
        <w:rPr>
          <w:sz w:val="20"/>
          <w:szCs w:val="20"/>
          <w:color w:val="auto"/>
        </w:rPr>
      </w:pPr>
    </w:p>
    <w:p>
      <w:pPr>
        <w:jc w:val="center"/>
        <w:ind w:left="4982"/>
        <w:spacing w:after="0"/>
        <w:rPr>
          <w:sz w:val="20"/>
          <w:szCs w:val="20"/>
          <w:color w:val="auto"/>
        </w:rPr>
      </w:pPr>
      <w:r>
        <w:rPr>
          <w:rFonts w:ascii="Times New Roman" w:cs="Times New Roman" w:eastAsia="Times New Roman" w:hAnsi="Times New Roman"/>
          <w:sz w:val="10"/>
          <w:szCs w:val="10"/>
          <w:b w:val="1"/>
          <w:bCs w:val="1"/>
          <w:color w:val="auto"/>
        </w:rPr>
        <w:t>2026</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8"/>
          <w:szCs w:val="8"/>
          <w:b w:val="1"/>
          <w:bCs w:val="1"/>
          <w:color w:val="auto"/>
        </w:rPr>
        <w:t>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14605</wp:posOffset>
            </wp:positionV>
            <wp:extent cx="82296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2960" cy="5715"/>
                    </a:xfrm>
                    <a:prstGeom prst="rect">
                      <a:avLst/>
                    </a:prstGeom>
                    <a:noFill/>
                  </pic:spPr>
                </pic:pic>
              </a:graphicData>
            </a:graphic>
          </wp:anchor>
        </w:drawing>
      </w:r>
    </w:p>
    <w:p>
      <w:pPr>
        <w:spacing w:after="0" w:line="23"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0"/>
          <w:szCs w:val="10"/>
          <w:b w:val="1"/>
          <w:bCs w:val="1"/>
          <w:color w:val="auto"/>
        </w:rPr>
        <w:t>2025</w:t>
      </w:r>
    </w:p>
    <w:p>
      <w:pPr>
        <w:spacing w:after="0" w:line="1" w:lineRule="exact"/>
        <w:rPr>
          <w:sz w:val="20"/>
          <w:szCs w:val="20"/>
          <w:color w:val="auto"/>
        </w:rPr>
      </w:pPr>
    </w:p>
    <w:p>
      <w:pPr>
        <w:sectPr>
          <w:pgSz w:w="11900" w:h="16838" w:orient="portrait"/>
          <w:cols w:equalWidth="0" w:num="2">
            <w:col w:w="5782" w:space="720"/>
            <w:col w:w="4440"/>
          </w:cols>
          <w:pgMar w:left="638" w:top="125" w:right="319" w:bottom="1440" w:gutter="0" w:footer="0" w:header="0"/>
          <w:type w:val="continuous"/>
        </w:sectPr>
      </w:pPr>
    </w:p>
    <w:tbl>
      <w:tblPr>
        <w:tblLayout w:type="fixed"/>
        <w:tblInd w:w="222" w:type="dxa"/>
        <w:tblCellMar>
          <w:top w:w="0" w:type="dxa"/>
          <w:left w:w="0" w:type="dxa"/>
          <w:bottom w:w="0" w:type="dxa"/>
          <w:right w:w="0" w:type="dxa"/>
        </w:tblCellMar>
      </w:tblPr>
      <w:tr>
        <w:trPr>
          <w:trHeight w:val="115"/>
        </w:trPr>
        <w:tc>
          <w:tcPr>
            <w:tcW w:w="450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Book value per share</w:t>
            </w:r>
          </w:p>
        </w:tc>
        <w:tc>
          <w:tcPr>
            <w:tcW w:w="420" w:type="dxa"/>
            <w:vAlign w:val="bottom"/>
            <w:tcBorders>
              <w:top w:val="single" w:sz="8" w:color="auto"/>
            </w:tcBorders>
          </w:tcPr>
          <w:p>
            <w:pPr>
              <w:jc w:val="right"/>
              <w:ind w:right="30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23.04</w:t>
            </w:r>
          </w:p>
        </w:tc>
        <w:tc>
          <w:tcPr>
            <w:tcW w:w="140" w:type="dxa"/>
            <w:vAlign w:val="bottom"/>
          </w:tcPr>
          <w:p>
            <w:pPr>
              <w:spacing w:after="0"/>
              <w:rPr>
                <w:sz w:val="9"/>
                <w:szCs w:val="9"/>
                <w:color w:val="auto"/>
              </w:rPr>
            </w:pPr>
          </w:p>
        </w:tc>
        <w:tc>
          <w:tcPr>
            <w:tcW w:w="420" w:type="dxa"/>
            <w:vAlign w:val="bottom"/>
            <w:tcBorders>
              <w:top w:val="single" w:sz="8" w:color="auto"/>
            </w:tcBorders>
          </w:tcPr>
          <w:p>
            <w:pPr>
              <w:jc w:val="right"/>
              <w:ind w:right="30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21.27</w:t>
            </w:r>
          </w:p>
        </w:tc>
      </w:tr>
      <w:tr>
        <w:trPr>
          <w:trHeight w:val="153"/>
        </w:trPr>
        <w:tc>
          <w:tcPr>
            <w:tcW w:w="4500" w:type="dxa"/>
            <w:vAlign w:val="bottom"/>
          </w:tcPr>
          <w:p>
            <w:pPr>
              <w:spacing w:after="0" w:line="153" w:lineRule="exact"/>
              <w:rPr>
                <w:sz w:val="20"/>
                <w:szCs w:val="20"/>
                <w:color w:val="auto"/>
              </w:rPr>
            </w:pPr>
            <w:r>
              <w:rPr>
                <w:rFonts w:ascii="Times New Roman" w:cs="Times New Roman" w:eastAsia="Times New Roman" w:hAnsi="Times New Roman"/>
                <w:sz w:val="11"/>
                <w:szCs w:val="11"/>
                <w:color w:val="auto"/>
              </w:rPr>
              <w:t xml:space="preserve">Net tangible book value per share </w:t>
            </w:r>
            <w:r>
              <w:rPr>
                <w:rFonts w:ascii="Times New Roman" w:cs="Times New Roman" w:eastAsia="Times New Roman" w:hAnsi="Times New Roman"/>
                <w:sz w:val="14"/>
                <w:szCs w:val="14"/>
                <w:color w:val="auto"/>
                <w:vertAlign w:val="superscript"/>
              </w:rPr>
              <w:t>(1)</w:t>
            </w:r>
          </w:p>
        </w:tc>
        <w:tc>
          <w:tcPr>
            <w:tcW w:w="42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22.62</w:t>
            </w:r>
          </w:p>
        </w:tc>
        <w:tc>
          <w:tcPr>
            <w:tcW w:w="140" w:type="dxa"/>
            <w:vAlign w:val="bottom"/>
          </w:tcPr>
          <w:p>
            <w:pPr>
              <w:spacing w:after="0"/>
              <w:rPr>
                <w:sz w:val="13"/>
                <w:szCs w:val="13"/>
                <w:color w:val="auto"/>
              </w:rPr>
            </w:pPr>
          </w:p>
        </w:tc>
        <w:tc>
          <w:tcPr>
            <w:tcW w:w="42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20.83</w:t>
            </w:r>
          </w:p>
        </w:tc>
      </w:tr>
      <w:tr>
        <w:trPr>
          <w:trHeight w:val="140"/>
        </w:trPr>
        <w:tc>
          <w:tcPr>
            <w:tcW w:w="4500" w:type="dxa"/>
            <w:vAlign w:val="bottom"/>
          </w:tcPr>
          <w:p>
            <w:pPr>
              <w:spacing w:after="0"/>
              <w:rPr>
                <w:sz w:val="20"/>
                <w:szCs w:val="20"/>
                <w:color w:val="auto"/>
              </w:rPr>
            </w:pPr>
            <w:r>
              <w:rPr>
                <w:rFonts w:ascii="Times New Roman" w:cs="Times New Roman" w:eastAsia="Times New Roman" w:hAnsi="Times New Roman"/>
                <w:sz w:val="11"/>
                <w:szCs w:val="11"/>
                <w:color w:val="auto"/>
              </w:rPr>
              <w:t>Outstanding common shares</w:t>
            </w:r>
          </w:p>
        </w:tc>
        <w:tc>
          <w:tcPr>
            <w:tcW w:w="4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13,411,153</w:t>
            </w: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13,368,447</w:t>
            </w:r>
          </w:p>
        </w:tc>
      </w:tr>
    </w:tbl>
    <w:p>
      <w:pPr>
        <w:spacing w:after="0" w:line="18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0"/>
          <w:szCs w:val="10"/>
          <w:u w:val="single" w:color="auto"/>
          <w:color w:val="auto"/>
        </w:rPr>
        <w:t>Notes:</w:t>
      </w:r>
    </w:p>
    <w:p>
      <w:pPr>
        <w:spacing w:after="0" w:line="12" w:lineRule="exact"/>
        <w:rPr>
          <w:sz w:val="20"/>
          <w:szCs w:val="20"/>
          <w:color w:val="auto"/>
        </w:rPr>
      </w:pPr>
    </w:p>
    <w:p>
      <w:pPr>
        <w:ind w:left="2" w:hanging="2"/>
        <w:spacing w:after="0" w:line="232" w:lineRule="auto"/>
        <w:tabs>
          <w:tab w:leader="none" w:pos="87" w:val="left"/>
        </w:tabs>
        <w:numPr>
          <w:ilvl w:val="0"/>
          <w:numId w:val="6"/>
        </w:numPr>
        <w:rPr>
          <w:rFonts w:ascii="Times New Roman" w:cs="Times New Roman" w:eastAsia="Times New Roman" w:hAnsi="Times New Roman"/>
          <w:sz w:val="11"/>
          <w:szCs w:val="11"/>
          <w:color w:val="auto"/>
          <w:vertAlign w:val="superscript"/>
        </w:rPr>
      </w:pPr>
      <w:r>
        <w:rPr>
          <w:rFonts w:ascii="Times New Roman" w:cs="Times New Roman" w:eastAsia="Times New Roman" w:hAnsi="Times New Roman"/>
          <w:sz w:val="9"/>
          <w:szCs w:val="9"/>
          <w:color w:val="auto"/>
        </w:rPr>
        <w:t>Net tangible book value represents the amount of total tangible assets reduced by our total liabilities. Tangible assets are calculated by reducing total assets, as defined by GAAP, by $5.4 million in goodwill for September 30, 2026, and December 31, 2025, respectively, and $321 thousand, and $535 thousand in other intangible assets for September 30, 2026, and December 31, 2025,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403860</wp:posOffset>
            </wp:positionV>
            <wp:extent cx="720344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942"/>
          </w:cols>
          <w:pgMar w:left="638" w:top="125" w:right="319" w:bottom="1440" w:gutter="0" w:footer="0" w:header="0"/>
          <w:type w:val="continuous"/>
        </w:sectPr>
      </w:pPr>
    </w:p>
    <w:bookmarkStart w:id="15" w:name="page16"/>
    <w:bookmarkEnd w:id="15"/>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ORANGE COUNTY BANCORP,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SELECTED OPERATING DATA</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w:t>
      </w:r>
    </w:p>
    <w:p>
      <w:pPr>
        <w:jc w:val="center"/>
        <w:ind w:right="20"/>
        <w:spacing w:after="0"/>
        <w:rPr>
          <w:sz w:val="20"/>
          <w:szCs w:val="20"/>
          <w:color w:val="auto"/>
        </w:rPr>
      </w:pPr>
      <w:r>
        <w:rPr>
          <w:rFonts w:ascii="Times New Roman" w:cs="Times New Roman" w:eastAsia="Times New Roman" w:hAnsi="Times New Roman"/>
          <w:sz w:val="10"/>
          <w:szCs w:val="10"/>
          <w:color w:val="auto"/>
        </w:rPr>
        <w:t>(Dollar amounts in thousands)</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1"/>
          <w:szCs w:val="11"/>
          <w:color w:val="auto"/>
        </w:rPr>
        <w:t>The following table presents loan composition for the periods indicated.</w:t>
      </w:r>
    </w:p>
    <w:p>
      <w:pPr>
        <w:spacing w:after="0" w:line="82" w:lineRule="exact"/>
        <w:rPr>
          <w:sz w:val="20"/>
          <w:szCs w:val="20"/>
          <w:color w:val="auto"/>
        </w:rPr>
      </w:pPr>
    </w:p>
    <w:tbl>
      <w:tblPr>
        <w:tblLayout w:type="fixed"/>
        <w:tblInd w:w="560" w:type="dxa"/>
        <w:tblCellMar>
          <w:top w:w="0" w:type="dxa"/>
          <w:left w:w="0" w:type="dxa"/>
          <w:bottom w:w="0" w:type="dxa"/>
          <w:right w:w="0" w:type="dxa"/>
        </w:tblCellMar>
      </w:tblPr>
      <w:tr>
        <w:trPr>
          <w:trHeight w:val="115"/>
        </w:trPr>
        <w:tc>
          <w:tcPr>
            <w:tcW w:w="524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0"/>
                <w:szCs w:val="10"/>
                <w:b w:val="1"/>
                <w:bCs w:val="1"/>
                <w:color w:val="auto"/>
                <w:w w:val="97"/>
              </w:rPr>
              <w:t>At September 30, 2026</w:t>
            </w:r>
          </w:p>
        </w:tc>
        <w:tc>
          <w:tcPr>
            <w:tcW w:w="66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0"/>
                <w:szCs w:val="10"/>
                <w:b w:val="1"/>
                <w:bCs w:val="1"/>
                <w:color w:val="auto"/>
              </w:rPr>
              <w:t>At December 31, 2025</w:t>
            </w:r>
          </w:p>
        </w:tc>
        <w:tc>
          <w:tcPr>
            <w:tcW w:w="7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24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Commercial and industrial</w:t>
            </w:r>
          </w:p>
        </w:tc>
        <w:tc>
          <w:tcPr>
            <w:tcW w:w="240" w:type="dxa"/>
            <w:vAlign w:val="bottom"/>
          </w:tcPr>
          <w:p>
            <w:pPr>
              <w:spacing w:after="0"/>
              <w:rPr>
                <w:sz w:val="10"/>
                <w:szCs w:val="10"/>
                <w:color w:val="auto"/>
              </w:rPr>
            </w:pPr>
          </w:p>
        </w:tc>
        <w:tc>
          <w:tcPr>
            <w:tcW w:w="1400" w:type="dxa"/>
            <w:vAlign w:val="bottom"/>
            <w:gridSpan w:val="3"/>
          </w:tcPr>
          <w:p>
            <w:pPr>
              <w:ind w:left="20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Percent</w:t>
            </w:r>
          </w:p>
        </w:tc>
        <w:tc>
          <w:tcPr>
            <w:tcW w:w="300" w:type="dxa"/>
            <w:vAlign w:val="bottom"/>
          </w:tcPr>
          <w:p>
            <w:pPr>
              <w:spacing w:after="0"/>
              <w:rPr>
                <w:sz w:val="10"/>
                <w:szCs w:val="10"/>
                <w:color w:val="auto"/>
              </w:rPr>
            </w:pPr>
          </w:p>
        </w:tc>
        <w:tc>
          <w:tcPr>
            <w:tcW w:w="1460" w:type="dxa"/>
            <w:vAlign w:val="bottom"/>
            <w:gridSpan w:val="3"/>
          </w:tcPr>
          <w:p>
            <w:pPr>
              <w:ind w:left="22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700" w:type="dxa"/>
            <w:vAlign w:val="bottom"/>
          </w:tcPr>
          <w:p>
            <w:pPr>
              <w:jc w:val="right"/>
              <w:ind w:right="247"/>
              <w:spacing w:after="0"/>
              <w:rPr>
                <w:sz w:val="20"/>
                <w:szCs w:val="20"/>
                <w:color w:val="auto"/>
              </w:rPr>
            </w:pPr>
            <w:r>
              <w:rPr>
                <w:rFonts w:ascii="Times New Roman" w:cs="Times New Roman" w:eastAsia="Times New Roman" w:hAnsi="Times New Roman"/>
                <w:sz w:val="10"/>
                <w:szCs w:val="10"/>
                <w:b w:val="1"/>
                <w:bCs w:val="1"/>
                <w:color w:val="auto"/>
              </w:rPr>
              <w:t>Percent</w:t>
            </w:r>
          </w:p>
        </w:tc>
        <w:tc>
          <w:tcPr>
            <w:tcW w:w="0" w:type="dxa"/>
            <w:vAlign w:val="bottom"/>
          </w:tcPr>
          <w:p>
            <w:pPr>
              <w:spacing w:after="0"/>
              <w:rPr>
                <w:sz w:val="1"/>
                <w:szCs w:val="1"/>
                <w:color w:val="auto"/>
              </w:rPr>
            </w:pPr>
          </w:p>
        </w:tc>
      </w:tr>
      <w:tr>
        <w:trPr>
          <w:trHeight w:val="115"/>
        </w:trPr>
        <w:tc>
          <w:tcPr>
            <w:tcW w:w="5240" w:type="dxa"/>
            <w:vAlign w:val="bottom"/>
            <w:vMerge w:val="continue"/>
          </w:tcPr>
          <w:p>
            <w:pPr>
              <w:spacing w:after="0"/>
              <w:rPr>
                <w:sz w:val="9"/>
                <w:szCs w:val="9"/>
                <w:color w:val="auto"/>
              </w:rPr>
            </w:pPr>
          </w:p>
        </w:tc>
        <w:tc>
          <w:tcPr>
            <w:tcW w:w="240" w:type="dxa"/>
            <w:vAlign w:val="bottom"/>
            <w:tcBorders>
              <w:top w:val="single" w:sz="8" w:color="auto"/>
            </w:tcBorders>
          </w:tcPr>
          <w:p>
            <w:pPr>
              <w:jc w:val="right"/>
              <w:ind w:right="1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243,652</w:t>
            </w:r>
          </w:p>
        </w:tc>
        <w:tc>
          <w:tcPr>
            <w:tcW w:w="16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12.39%</w:t>
            </w:r>
          </w:p>
        </w:tc>
        <w:tc>
          <w:tcPr>
            <w:tcW w:w="160" w:type="dxa"/>
            <w:vAlign w:val="bottom"/>
          </w:tcPr>
          <w:p>
            <w:pPr>
              <w:spacing w:after="0"/>
              <w:rPr>
                <w:sz w:val="9"/>
                <w:szCs w:val="9"/>
                <w:color w:val="auto"/>
              </w:rPr>
            </w:pPr>
          </w:p>
        </w:tc>
        <w:tc>
          <w:tcPr>
            <w:tcW w:w="300" w:type="dxa"/>
            <w:vAlign w:val="bottom"/>
            <w:tcBorders>
              <w:top w:val="single" w:sz="8" w:color="auto"/>
            </w:tcBorders>
          </w:tcPr>
          <w:p>
            <w:pPr>
              <w:jc w:val="right"/>
              <w:ind w:right="18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249,633</w:t>
            </w:r>
          </w:p>
        </w:tc>
        <w:tc>
          <w:tcPr>
            <w:tcW w:w="16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12.80%</w:t>
            </w:r>
          </w:p>
        </w:tc>
        <w:tc>
          <w:tcPr>
            <w:tcW w:w="0" w:type="dxa"/>
            <w:vAlign w:val="bottom"/>
          </w:tcPr>
          <w:p>
            <w:pPr>
              <w:spacing w:after="0"/>
              <w:rPr>
                <w:sz w:val="1"/>
                <w:szCs w:val="1"/>
                <w:color w:val="auto"/>
              </w:rPr>
            </w:pPr>
          </w:p>
        </w:tc>
      </w:tr>
      <w:tr>
        <w:trPr>
          <w:trHeight w:val="135"/>
        </w:trPr>
        <w:tc>
          <w:tcPr>
            <w:tcW w:w="5240" w:type="dxa"/>
            <w:vAlign w:val="bottom"/>
          </w:tcPr>
          <w:p>
            <w:pPr>
              <w:spacing w:after="0"/>
              <w:rPr>
                <w:sz w:val="20"/>
                <w:szCs w:val="20"/>
                <w:color w:val="auto"/>
              </w:rPr>
            </w:pPr>
            <w:r>
              <w:rPr>
                <w:rFonts w:ascii="Times New Roman" w:cs="Times New Roman" w:eastAsia="Times New Roman" w:hAnsi="Times New Roman"/>
                <w:sz w:val="11"/>
                <w:szCs w:val="11"/>
                <w:color w:val="auto"/>
              </w:rPr>
              <w:t>Commercial real estate</w:t>
            </w:r>
          </w:p>
        </w:tc>
        <w:tc>
          <w:tcPr>
            <w:tcW w:w="24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1,529,625</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77.77%</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1,480,062</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75.89%</w:t>
            </w:r>
          </w:p>
        </w:tc>
        <w:tc>
          <w:tcPr>
            <w:tcW w:w="0" w:type="dxa"/>
            <w:vAlign w:val="bottom"/>
          </w:tcPr>
          <w:p>
            <w:pPr>
              <w:spacing w:after="0"/>
              <w:rPr>
                <w:sz w:val="1"/>
                <w:szCs w:val="1"/>
                <w:color w:val="auto"/>
              </w:rPr>
            </w:pPr>
          </w:p>
        </w:tc>
      </w:tr>
      <w:tr>
        <w:trPr>
          <w:trHeight w:val="135"/>
        </w:trPr>
        <w:tc>
          <w:tcPr>
            <w:tcW w:w="5240" w:type="dxa"/>
            <w:vAlign w:val="bottom"/>
          </w:tcPr>
          <w:p>
            <w:pPr>
              <w:spacing w:after="0"/>
              <w:rPr>
                <w:sz w:val="20"/>
                <w:szCs w:val="20"/>
                <w:color w:val="auto"/>
              </w:rPr>
            </w:pPr>
            <w:r>
              <w:rPr>
                <w:rFonts w:ascii="Times New Roman" w:cs="Times New Roman" w:eastAsia="Times New Roman" w:hAnsi="Times New Roman"/>
                <w:sz w:val="11"/>
                <w:szCs w:val="11"/>
                <w:color w:val="auto"/>
              </w:rPr>
              <w:t>Commercial real estate construction</w:t>
            </w:r>
          </w:p>
        </w:tc>
        <w:tc>
          <w:tcPr>
            <w:tcW w:w="24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114,160</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5.80%</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99,262</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5.09%</w:t>
            </w:r>
          </w:p>
        </w:tc>
        <w:tc>
          <w:tcPr>
            <w:tcW w:w="0" w:type="dxa"/>
            <w:vAlign w:val="bottom"/>
          </w:tcPr>
          <w:p>
            <w:pPr>
              <w:spacing w:after="0"/>
              <w:rPr>
                <w:sz w:val="1"/>
                <w:szCs w:val="1"/>
                <w:color w:val="auto"/>
              </w:rPr>
            </w:pPr>
          </w:p>
        </w:tc>
      </w:tr>
      <w:tr>
        <w:trPr>
          <w:trHeight w:val="135"/>
        </w:trPr>
        <w:tc>
          <w:tcPr>
            <w:tcW w:w="5240" w:type="dxa"/>
            <w:vAlign w:val="bottom"/>
          </w:tcPr>
          <w:p>
            <w:pPr>
              <w:spacing w:after="0"/>
              <w:rPr>
                <w:sz w:val="20"/>
                <w:szCs w:val="20"/>
                <w:color w:val="auto"/>
              </w:rPr>
            </w:pPr>
            <w:r>
              <w:rPr>
                <w:rFonts w:ascii="Times New Roman" w:cs="Times New Roman" w:eastAsia="Times New Roman" w:hAnsi="Times New Roman"/>
                <w:sz w:val="11"/>
                <w:szCs w:val="11"/>
                <w:color w:val="auto"/>
              </w:rPr>
              <w:t>Residential real estate</w:t>
            </w:r>
          </w:p>
        </w:tc>
        <w:tc>
          <w:tcPr>
            <w:tcW w:w="24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22,789</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65,290</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3.35%</w:t>
            </w:r>
          </w:p>
        </w:tc>
        <w:tc>
          <w:tcPr>
            <w:tcW w:w="0" w:type="dxa"/>
            <w:vAlign w:val="bottom"/>
          </w:tcPr>
          <w:p>
            <w:pPr>
              <w:spacing w:after="0"/>
              <w:rPr>
                <w:sz w:val="1"/>
                <w:szCs w:val="1"/>
                <w:color w:val="auto"/>
              </w:rPr>
            </w:pPr>
          </w:p>
        </w:tc>
      </w:tr>
      <w:tr>
        <w:trPr>
          <w:trHeight w:val="135"/>
        </w:trPr>
        <w:tc>
          <w:tcPr>
            <w:tcW w:w="5240" w:type="dxa"/>
            <w:vAlign w:val="bottom"/>
          </w:tcPr>
          <w:p>
            <w:pPr>
              <w:spacing w:after="0"/>
              <w:rPr>
                <w:sz w:val="20"/>
                <w:szCs w:val="20"/>
                <w:color w:val="auto"/>
              </w:rPr>
            </w:pPr>
            <w:r>
              <w:rPr>
                <w:rFonts w:ascii="Times New Roman" w:cs="Times New Roman" w:eastAsia="Times New Roman" w:hAnsi="Times New Roman"/>
                <w:sz w:val="11"/>
                <w:szCs w:val="11"/>
                <w:color w:val="auto"/>
              </w:rPr>
              <w:t>Home equity</w:t>
            </w:r>
          </w:p>
        </w:tc>
        <w:tc>
          <w:tcPr>
            <w:tcW w:w="24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9,558</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0.49%</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22,618</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w:t>
            </w:r>
          </w:p>
        </w:tc>
        <w:tc>
          <w:tcPr>
            <w:tcW w:w="0" w:type="dxa"/>
            <w:vAlign w:val="bottom"/>
          </w:tcPr>
          <w:p>
            <w:pPr>
              <w:spacing w:after="0"/>
              <w:rPr>
                <w:sz w:val="1"/>
                <w:szCs w:val="1"/>
                <w:color w:val="auto"/>
              </w:rPr>
            </w:pPr>
          </w:p>
        </w:tc>
      </w:tr>
      <w:tr>
        <w:trPr>
          <w:trHeight w:val="140"/>
        </w:trPr>
        <w:tc>
          <w:tcPr>
            <w:tcW w:w="5240" w:type="dxa"/>
            <w:vAlign w:val="bottom"/>
          </w:tcPr>
          <w:p>
            <w:pPr>
              <w:spacing w:after="0"/>
              <w:rPr>
                <w:sz w:val="20"/>
                <w:szCs w:val="20"/>
                <w:color w:val="auto"/>
              </w:rPr>
            </w:pPr>
            <w:r>
              <w:rPr>
                <w:rFonts w:ascii="Times New Roman" w:cs="Times New Roman" w:eastAsia="Times New Roman" w:hAnsi="Times New Roman"/>
                <w:sz w:val="11"/>
                <w:szCs w:val="11"/>
                <w:color w:val="auto"/>
              </w:rPr>
              <w:t>Consumer</w:t>
            </w: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47,053</w:t>
            </w:r>
          </w:p>
        </w:tc>
        <w:tc>
          <w:tcPr>
            <w:tcW w:w="1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2.39%</w:t>
            </w: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33,419</w:t>
            </w: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1.71%</w:t>
            </w:r>
          </w:p>
        </w:tc>
        <w:tc>
          <w:tcPr>
            <w:tcW w:w="0" w:type="dxa"/>
            <w:vAlign w:val="bottom"/>
          </w:tcPr>
          <w:p>
            <w:pPr>
              <w:spacing w:after="0"/>
              <w:rPr>
                <w:sz w:val="1"/>
                <w:szCs w:val="1"/>
                <w:color w:val="auto"/>
              </w:rPr>
            </w:pPr>
          </w:p>
        </w:tc>
      </w:tr>
      <w:tr>
        <w:trPr>
          <w:trHeight w:val="135"/>
        </w:trPr>
        <w:tc>
          <w:tcPr>
            <w:tcW w:w="5240" w:type="dxa"/>
            <w:vAlign w:val="bottom"/>
          </w:tcPr>
          <w:p>
            <w:pPr>
              <w:spacing w:after="0"/>
              <w:rPr>
                <w:sz w:val="20"/>
                <w:szCs w:val="20"/>
                <w:color w:val="auto"/>
              </w:rPr>
            </w:pPr>
            <w:r>
              <w:rPr>
                <w:rFonts w:ascii="Times New Roman" w:cs="Times New Roman" w:eastAsia="Times New Roman" w:hAnsi="Times New Roman"/>
                <w:sz w:val="11"/>
                <w:szCs w:val="11"/>
                <w:color w:val="auto"/>
              </w:rPr>
              <w:t>Total loans</w:t>
            </w:r>
          </w:p>
        </w:tc>
        <w:tc>
          <w:tcPr>
            <w:tcW w:w="24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1,966,837</w:t>
            </w:r>
          </w:p>
        </w:tc>
        <w:tc>
          <w:tcPr>
            <w:tcW w:w="1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1,950,284</w:t>
            </w:r>
          </w:p>
        </w:tc>
        <w:tc>
          <w:tcPr>
            <w:tcW w:w="1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0" w:type="dxa"/>
            <w:vAlign w:val="bottom"/>
          </w:tcPr>
          <w:p>
            <w:pPr>
              <w:spacing w:after="0"/>
              <w:rPr>
                <w:sz w:val="1"/>
                <w:szCs w:val="1"/>
                <w:color w:val="auto"/>
              </w:rPr>
            </w:pPr>
          </w:p>
        </w:tc>
      </w:tr>
      <w:tr>
        <w:trPr>
          <w:trHeight w:val="126"/>
        </w:trPr>
        <w:tc>
          <w:tcPr>
            <w:tcW w:w="5240" w:type="dxa"/>
            <w:vAlign w:val="bottom"/>
          </w:tcPr>
          <w:p>
            <w:pPr>
              <w:spacing w:after="0"/>
              <w:rPr>
                <w:sz w:val="20"/>
                <w:szCs w:val="20"/>
                <w:color w:val="auto"/>
              </w:rPr>
            </w:pPr>
            <w:r>
              <w:rPr>
                <w:rFonts w:ascii="Times New Roman" w:cs="Times New Roman" w:eastAsia="Times New Roman" w:hAnsi="Times New Roman"/>
                <w:sz w:val="11"/>
                <w:szCs w:val="11"/>
                <w:color w:val="auto"/>
              </w:rPr>
              <w:t>Allowance for loan losses</w:t>
            </w:r>
          </w:p>
        </w:tc>
        <w:tc>
          <w:tcPr>
            <w:tcW w:w="2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27,189</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28,335</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5240" w:type="dxa"/>
            <w:vAlign w:val="bottom"/>
          </w:tcPr>
          <w:p>
            <w:pPr>
              <w:spacing w:after="0" w:line="133" w:lineRule="exact"/>
              <w:rPr>
                <w:sz w:val="20"/>
                <w:szCs w:val="20"/>
                <w:color w:val="auto"/>
              </w:rPr>
            </w:pPr>
            <w:r>
              <w:rPr>
                <w:rFonts w:ascii="Times New Roman" w:cs="Times New Roman" w:eastAsia="Times New Roman" w:hAnsi="Times New Roman"/>
                <w:sz w:val="11"/>
                <w:szCs w:val="11"/>
                <w:color w:val="auto"/>
              </w:rPr>
              <w:t>Total loans, net</w:t>
            </w:r>
            <w:r>
              <w:rPr>
                <w:rFonts w:ascii="Times New Roman" w:cs="Times New Roman" w:eastAsia="Times New Roman" w:hAnsi="Times New Roman"/>
                <w:sz w:val="14"/>
                <w:szCs w:val="14"/>
                <w:color w:val="auto"/>
                <w:vertAlign w:val="superscript"/>
              </w:rPr>
              <w:t>(1)</w:t>
            </w:r>
          </w:p>
        </w:tc>
        <w:tc>
          <w:tcPr>
            <w:tcW w:w="2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1,939,648</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1,921,949</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0"/>
          <w:szCs w:val="10"/>
          <w:u w:val="single" w:color="auto"/>
          <w:color w:val="auto"/>
        </w:rPr>
        <w:t>Notes:</w:t>
      </w:r>
    </w:p>
    <w:p>
      <w:pPr>
        <w:spacing w:after="0" w:line="12" w:lineRule="exact"/>
        <w:rPr>
          <w:sz w:val="20"/>
          <w:szCs w:val="20"/>
          <w:color w:val="auto"/>
        </w:rPr>
      </w:pPr>
    </w:p>
    <w:p>
      <w:pPr>
        <w:ind w:left="340" w:hanging="2"/>
        <w:spacing w:after="0" w:line="232" w:lineRule="auto"/>
        <w:tabs>
          <w:tab w:leader="none" w:pos="425" w:val="left"/>
        </w:tabs>
        <w:numPr>
          <w:ilvl w:val="0"/>
          <w:numId w:val="7"/>
        </w:numPr>
        <w:rPr>
          <w:rFonts w:ascii="Times New Roman" w:cs="Times New Roman" w:eastAsia="Times New Roman" w:hAnsi="Times New Roman"/>
          <w:sz w:val="11"/>
          <w:szCs w:val="11"/>
          <w:color w:val="auto"/>
          <w:vertAlign w:val="superscript"/>
        </w:rPr>
      </w:pPr>
      <w:r>
        <w:rPr>
          <w:rFonts w:ascii="Times New Roman" w:cs="Times New Roman" w:eastAsia="Times New Roman" w:hAnsi="Times New Roman"/>
          <w:sz w:val="9"/>
          <w:szCs w:val="9"/>
          <w:color w:val="auto"/>
        </w:rPr>
        <w:t>During the nine months ended September 30, 2026, the Company transferred loan balance of $63.6 million from loans to loans held-for-sale, net of valuation allowance of $4.8 million. During the nine months ended September 30, 2026, the Company sold $18.4 million of home equity loans from the loans held-for-sale portfolio. As of September 30, 2026, the loans held-for-sale portfolio consisted of approximately $42.6 million of residential real estate loans, net of valuation allowance of $4.5 million.</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1"/>
          <w:szCs w:val="11"/>
          <w:color w:val="auto"/>
        </w:rPr>
        <w:t>The following table presents deposits by account type for the periods indicated.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36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gridSpan w:val="4"/>
          </w:tcPr>
          <w:p>
            <w:pPr>
              <w:ind w:left="860"/>
              <w:spacing w:after="0"/>
              <w:rPr>
                <w:sz w:val="20"/>
                <w:szCs w:val="20"/>
                <w:color w:val="auto"/>
              </w:rPr>
            </w:pPr>
            <w:r>
              <w:rPr>
                <w:rFonts w:ascii="Times New Roman" w:cs="Times New Roman" w:eastAsia="Times New Roman" w:hAnsi="Times New Roman"/>
                <w:sz w:val="10"/>
                <w:szCs w:val="10"/>
                <w:b w:val="1"/>
                <w:bCs w:val="1"/>
                <w:color w:val="auto"/>
              </w:rPr>
              <w:t>At September 30, 2026</w:t>
            </w:r>
          </w:p>
        </w:tc>
        <w:tc>
          <w:tcPr>
            <w:tcW w:w="82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gridSpan w:val="4"/>
          </w:tcPr>
          <w:p>
            <w:pPr>
              <w:ind w:left="860"/>
              <w:spacing w:after="0"/>
              <w:rPr>
                <w:sz w:val="20"/>
                <w:szCs w:val="20"/>
                <w:color w:val="auto"/>
              </w:rPr>
            </w:pPr>
            <w:r>
              <w:rPr>
                <w:rFonts w:ascii="Times New Roman" w:cs="Times New Roman" w:eastAsia="Times New Roman" w:hAnsi="Times New Roman"/>
                <w:sz w:val="10"/>
                <w:szCs w:val="10"/>
                <w:b w:val="1"/>
                <w:bCs w:val="1"/>
                <w:color w:val="auto"/>
              </w:rPr>
              <w:t>At December 31, 2025</w:t>
            </w:r>
          </w:p>
        </w:tc>
        <w:tc>
          <w:tcPr>
            <w:tcW w:w="800" w:type="dxa"/>
            <w:vAlign w:val="bottom"/>
            <w:tcBorders>
              <w:bottom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5"/>
              </w:rPr>
              <w:t>Average</w:t>
            </w: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jc w:val="right"/>
              <w:ind w:right="168"/>
              <w:spacing w:after="0"/>
              <w:rPr>
                <w:sz w:val="20"/>
                <w:szCs w:val="20"/>
                <w:color w:val="auto"/>
              </w:rPr>
            </w:pPr>
            <w:r>
              <w:rPr>
                <w:rFonts w:ascii="Times New Roman" w:cs="Times New Roman" w:eastAsia="Times New Roman" w:hAnsi="Times New Roman"/>
                <w:sz w:val="10"/>
                <w:szCs w:val="10"/>
                <w:b w:val="1"/>
                <w:bCs w:val="1"/>
                <w:color w:val="auto"/>
              </w:rPr>
              <w:t>Average</w:t>
            </w: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360" w:type="dxa"/>
            <w:vAlign w:val="bottom"/>
            <w:vMerge w:val="restart"/>
          </w:tcPr>
          <w:p>
            <w:pPr>
              <w:ind w:left="560"/>
              <w:spacing w:after="0"/>
              <w:rPr>
                <w:sz w:val="20"/>
                <w:szCs w:val="20"/>
                <w:color w:val="auto"/>
              </w:rPr>
            </w:pPr>
            <w:r>
              <w:rPr>
                <w:rFonts w:ascii="Times New Roman" w:cs="Times New Roman" w:eastAsia="Times New Roman" w:hAnsi="Times New Roman"/>
                <w:sz w:val="11"/>
                <w:szCs w:val="11"/>
                <w:color w:val="auto"/>
              </w:rPr>
              <w:t>Noninterest-bearing demand accounts</w:t>
            </w:r>
          </w:p>
        </w:tc>
        <w:tc>
          <w:tcPr>
            <w:tcW w:w="240" w:type="dxa"/>
            <w:vAlign w:val="bottom"/>
          </w:tcPr>
          <w:p>
            <w:pPr>
              <w:spacing w:after="0"/>
              <w:rPr>
                <w:sz w:val="10"/>
                <w:szCs w:val="10"/>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940" w:type="dxa"/>
            <w:vAlign w:val="bottom"/>
            <w:gridSpan w:val="2"/>
          </w:tcPr>
          <w:p>
            <w:pPr>
              <w:ind w:left="240"/>
              <w:spacing w:after="0"/>
              <w:rPr>
                <w:sz w:val="20"/>
                <w:szCs w:val="20"/>
                <w:color w:val="auto"/>
              </w:rPr>
            </w:pPr>
            <w:r>
              <w:rPr>
                <w:rFonts w:ascii="Times New Roman" w:cs="Times New Roman" w:eastAsia="Times New Roman" w:hAnsi="Times New Roman"/>
                <w:sz w:val="10"/>
                <w:szCs w:val="10"/>
                <w:b w:val="1"/>
                <w:bCs w:val="1"/>
                <w:color w:val="auto"/>
              </w:rPr>
              <w:t>Percent</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9"/>
              </w:rPr>
              <w:t>Rate</w:t>
            </w:r>
          </w:p>
        </w:tc>
        <w:tc>
          <w:tcPr>
            <w:tcW w:w="240" w:type="dxa"/>
            <w:vAlign w:val="bottom"/>
          </w:tcPr>
          <w:p>
            <w:pPr>
              <w:spacing w:after="0"/>
              <w:rPr>
                <w:sz w:val="10"/>
                <w:szCs w:val="10"/>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940" w:type="dxa"/>
            <w:vAlign w:val="bottom"/>
            <w:gridSpan w:val="2"/>
          </w:tcPr>
          <w:p>
            <w:pPr>
              <w:ind w:left="240"/>
              <w:spacing w:after="0"/>
              <w:rPr>
                <w:sz w:val="20"/>
                <w:szCs w:val="20"/>
                <w:color w:val="auto"/>
              </w:rPr>
            </w:pPr>
            <w:r>
              <w:rPr>
                <w:rFonts w:ascii="Times New Roman" w:cs="Times New Roman" w:eastAsia="Times New Roman" w:hAnsi="Times New Roman"/>
                <w:sz w:val="10"/>
                <w:szCs w:val="10"/>
                <w:b w:val="1"/>
                <w:bCs w:val="1"/>
                <w:color w:val="auto"/>
              </w:rPr>
              <w:t>Percent</w:t>
            </w:r>
          </w:p>
        </w:tc>
        <w:tc>
          <w:tcPr>
            <w:tcW w:w="800" w:type="dxa"/>
            <w:vAlign w:val="bottom"/>
          </w:tcPr>
          <w:p>
            <w:pPr>
              <w:jc w:val="right"/>
              <w:ind w:right="248"/>
              <w:spacing w:after="0"/>
              <w:rPr>
                <w:sz w:val="20"/>
                <w:szCs w:val="20"/>
                <w:color w:val="auto"/>
              </w:rPr>
            </w:pPr>
            <w:r>
              <w:rPr>
                <w:rFonts w:ascii="Times New Roman" w:cs="Times New Roman" w:eastAsia="Times New Roman" w:hAnsi="Times New Roman"/>
                <w:sz w:val="10"/>
                <w:szCs w:val="10"/>
                <w:b w:val="1"/>
                <w:bCs w:val="1"/>
                <w:color w:val="auto"/>
              </w:rPr>
              <w:t>Rate</w:t>
            </w: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360" w:type="dxa"/>
            <w:vAlign w:val="bottom"/>
            <w:vMerge w:val="continue"/>
          </w:tcPr>
          <w:p>
            <w:pPr>
              <w:spacing w:after="0"/>
              <w:rPr>
                <w:sz w:val="9"/>
                <w:szCs w:val="9"/>
                <w:color w:val="auto"/>
              </w:rPr>
            </w:pPr>
          </w:p>
        </w:tc>
        <w:tc>
          <w:tcPr>
            <w:tcW w:w="240" w:type="dxa"/>
            <w:vAlign w:val="bottom"/>
            <w:tcBorders>
              <w:top w:val="single" w:sz="8" w:color="auto"/>
            </w:tcBorders>
          </w:tcPr>
          <w:p>
            <w:pPr>
              <w:jc w:val="right"/>
              <w:ind w:right="1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776,773</w:t>
            </w:r>
          </w:p>
        </w:tc>
        <w:tc>
          <w:tcPr>
            <w:tcW w:w="140" w:type="dxa"/>
            <w:vAlign w:val="bottom"/>
          </w:tcPr>
          <w:p>
            <w:pPr>
              <w:spacing w:after="0"/>
              <w:rPr>
                <w:sz w:val="9"/>
                <w:szCs w:val="9"/>
                <w:color w:val="auto"/>
              </w:rPr>
            </w:pPr>
          </w:p>
        </w:tc>
        <w:tc>
          <w:tcPr>
            <w:tcW w:w="80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32.83%</w:t>
            </w:r>
          </w:p>
        </w:tc>
        <w:tc>
          <w:tcPr>
            <w:tcW w:w="140" w:type="dxa"/>
            <w:vAlign w:val="bottom"/>
          </w:tcPr>
          <w:p>
            <w:pPr>
              <w:spacing w:after="0"/>
              <w:rPr>
                <w:sz w:val="9"/>
                <w:szCs w:val="9"/>
                <w:color w:val="auto"/>
              </w:rPr>
            </w:pPr>
          </w:p>
        </w:tc>
        <w:tc>
          <w:tcPr>
            <w:tcW w:w="82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0.00%</w:t>
            </w:r>
          </w:p>
        </w:tc>
        <w:tc>
          <w:tcPr>
            <w:tcW w:w="140" w:type="dxa"/>
            <w:vAlign w:val="bottom"/>
          </w:tcPr>
          <w:p>
            <w:pPr>
              <w:spacing w:after="0"/>
              <w:rPr>
                <w:sz w:val="9"/>
                <w:szCs w:val="9"/>
                <w:color w:val="auto"/>
              </w:rPr>
            </w:pPr>
          </w:p>
        </w:tc>
        <w:tc>
          <w:tcPr>
            <w:tcW w:w="240" w:type="dxa"/>
            <w:vAlign w:val="bottom"/>
            <w:tcBorders>
              <w:top w:val="single" w:sz="8" w:color="auto"/>
            </w:tcBorders>
          </w:tcPr>
          <w:p>
            <w:pPr>
              <w:jc w:val="right"/>
              <w:ind w:right="1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725,656</w:t>
            </w:r>
          </w:p>
        </w:tc>
        <w:tc>
          <w:tcPr>
            <w:tcW w:w="160" w:type="dxa"/>
            <w:vAlign w:val="bottom"/>
          </w:tcPr>
          <w:p>
            <w:pPr>
              <w:spacing w:after="0"/>
              <w:rPr>
                <w:sz w:val="9"/>
                <w:szCs w:val="9"/>
                <w:color w:val="auto"/>
              </w:rPr>
            </w:pPr>
          </w:p>
        </w:tc>
        <w:tc>
          <w:tcPr>
            <w:tcW w:w="80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31.41%</w:t>
            </w:r>
          </w:p>
        </w:tc>
        <w:tc>
          <w:tcPr>
            <w:tcW w:w="140" w:type="dxa"/>
            <w:vAlign w:val="bottom"/>
          </w:tcPr>
          <w:p>
            <w:pPr>
              <w:spacing w:after="0"/>
              <w:rPr>
                <w:sz w:val="9"/>
                <w:szCs w:val="9"/>
                <w:color w:val="auto"/>
              </w:rPr>
            </w:pPr>
          </w:p>
        </w:tc>
        <w:tc>
          <w:tcPr>
            <w:tcW w:w="80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0.00%</w:t>
            </w: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36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Interest bearing demand accounts</w:t>
            </w:r>
          </w:p>
        </w:tc>
        <w:tc>
          <w:tcPr>
            <w:tcW w:w="24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385,630</w:t>
            </w:r>
          </w:p>
        </w:tc>
        <w:tc>
          <w:tcPr>
            <w:tcW w:w="1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16.30%</w:t>
            </w:r>
          </w:p>
        </w:tc>
        <w:tc>
          <w:tcPr>
            <w:tcW w:w="1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0.17%</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419,604</w:t>
            </w:r>
          </w:p>
        </w:tc>
        <w:tc>
          <w:tcPr>
            <w:tcW w:w="1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18.16%</w:t>
            </w:r>
          </w:p>
        </w:tc>
        <w:tc>
          <w:tcPr>
            <w:tcW w:w="1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0.72%</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6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Money market accounts</w:t>
            </w:r>
          </w:p>
        </w:tc>
        <w:tc>
          <w:tcPr>
            <w:tcW w:w="24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247,846</w:t>
            </w:r>
          </w:p>
        </w:tc>
        <w:tc>
          <w:tcPr>
            <w:tcW w:w="1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10.47%</w:t>
            </w:r>
          </w:p>
        </w:tc>
        <w:tc>
          <w:tcPr>
            <w:tcW w:w="1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646,688</w:t>
            </w:r>
          </w:p>
        </w:tc>
        <w:tc>
          <w:tcPr>
            <w:tcW w:w="1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27.99%</w:t>
            </w:r>
          </w:p>
        </w:tc>
        <w:tc>
          <w:tcPr>
            <w:tcW w:w="1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6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Savings accounts</w:t>
            </w:r>
          </w:p>
        </w:tc>
        <w:tc>
          <w:tcPr>
            <w:tcW w:w="24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923,380</w:t>
            </w:r>
          </w:p>
        </w:tc>
        <w:tc>
          <w:tcPr>
            <w:tcW w:w="1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39.02%</w:t>
            </w:r>
          </w:p>
        </w:tc>
        <w:tc>
          <w:tcPr>
            <w:tcW w:w="1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359,415</w:t>
            </w:r>
          </w:p>
        </w:tc>
        <w:tc>
          <w:tcPr>
            <w:tcW w:w="1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15.56%</w:t>
            </w:r>
          </w:p>
        </w:tc>
        <w:tc>
          <w:tcPr>
            <w:tcW w:w="1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436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Certificates of deposit</w:t>
            </w: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32,711</w:t>
            </w:r>
          </w:p>
        </w:tc>
        <w:tc>
          <w:tcPr>
            <w:tcW w:w="140" w:type="dxa"/>
            <w:vAlign w:val="bottom"/>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1.38%</w:t>
            </w:r>
          </w:p>
        </w:tc>
        <w:tc>
          <w:tcPr>
            <w:tcW w:w="140" w:type="dxa"/>
            <w:vAlign w:val="bottom"/>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1.83%</w:t>
            </w: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159,010</w:t>
            </w:r>
          </w:p>
        </w:tc>
        <w:tc>
          <w:tcPr>
            <w:tcW w:w="160" w:type="dxa"/>
            <w:vAlign w:val="bottom"/>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6.88%</w:t>
            </w:r>
          </w:p>
        </w:tc>
        <w:tc>
          <w:tcPr>
            <w:tcW w:w="140" w:type="dxa"/>
            <w:vAlign w:val="bottom"/>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3.46%</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36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Total</w:t>
            </w:r>
          </w:p>
        </w:tc>
        <w:tc>
          <w:tcPr>
            <w:tcW w:w="2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2,366,340</w:t>
            </w:r>
          </w:p>
        </w:tc>
        <w:tc>
          <w:tcPr>
            <w:tcW w:w="140" w:type="dxa"/>
            <w:vAlign w:val="bottom"/>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140" w:type="dxa"/>
            <w:vAlign w:val="bottom"/>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0.99%</w:t>
            </w:r>
          </w:p>
        </w:tc>
        <w:tc>
          <w:tcPr>
            <w:tcW w:w="140" w:type="dxa"/>
            <w:vAlign w:val="bottom"/>
          </w:tcPr>
          <w:p>
            <w:pPr>
              <w:spacing w:after="0"/>
              <w:rPr>
                <w:sz w:val="11"/>
                <w:szCs w:val="11"/>
                <w:color w:val="auto"/>
              </w:rPr>
            </w:pPr>
          </w:p>
        </w:tc>
        <w:tc>
          <w:tcPr>
            <w:tcW w:w="2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2,310,373</w:t>
            </w:r>
          </w:p>
        </w:tc>
        <w:tc>
          <w:tcPr>
            <w:tcW w:w="160" w:type="dxa"/>
            <w:vAlign w:val="bottom"/>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140" w:type="dxa"/>
            <w:vAlign w:val="bottom"/>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1.12%</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2"/>
        </w:trPr>
        <w:tc>
          <w:tcPr>
            <w:tcW w:w="43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24" w:right="29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2"/>
          <w:szCs w:val="12"/>
          <w:b w:val="1"/>
          <w:bCs w:val="1"/>
          <w:color w:val="auto"/>
        </w:rPr>
        <w:t>ORANGE COUNTY BANCORP,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NON-PERFORMING ASSETS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jc w:val="center"/>
        <w:spacing w:after="0"/>
        <w:rPr>
          <w:sz w:val="20"/>
          <w:szCs w:val="20"/>
          <w:color w:val="auto"/>
        </w:rPr>
      </w:pPr>
      <w:r>
        <w:rPr>
          <w:rFonts w:ascii="Times New Roman" w:cs="Times New Roman" w:eastAsia="Times New Roman" w:hAnsi="Times New Roman"/>
          <w:sz w:val="10"/>
          <w:szCs w:val="10"/>
          <w:color w:val="auto"/>
        </w:rPr>
        <w:t>(Dollar amounts 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0" w:type="dxa"/>
            <w:vAlign w:val="bottom"/>
          </w:tcPr>
          <w:p>
            <w:pPr>
              <w:spacing w:after="0"/>
              <w:rPr>
                <w:sz w:val="10"/>
                <w:szCs w:val="10"/>
                <w:color w:val="auto"/>
              </w:rPr>
            </w:pPr>
          </w:p>
        </w:tc>
        <w:tc>
          <w:tcPr>
            <w:tcW w:w="11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4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0" w:type="dxa"/>
            <w:vAlign w:val="bottom"/>
          </w:tcPr>
          <w:p>
            <w:pPr>
              <w:spacing w:after="0"/>
              <w:rPr>
                <w:sz w:val="1"/>
                <w:szCs w:val="1"/>
                <w:color w:val="auto"/>
              </w:rPr>
            </w:pPr>
          </w:p>
        </w:tc>
      </w:tr>
      <w:tr>
        <w:trPr>
          <w:trHeight w:val="115"/>
        </w:trPr>
        <w:tc>
          <w:tcPr>
            <w:tcW w:w="68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Non-accrual loans:</w:t>
            </w:r>
          </w:p>
        </w:tc>
        <w:tc>
          <w:tcPr>
            <w:tcW w:w="118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0"/>
                <w:szCs w:val="10"/>
                <w:b w:val="1"/>
                <w:bCs w:val="1"/>
                <w:color w:val="auto"/>
              </w:rPr>
              <w:t>2026</w:t>
            </w:r>
          </w:p>
        </w:tc>
        <w:tc>
          <w:tcPr>
            <w:tcW w:w="4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0"/>
                <w:szCs w:val="10"/>
                <w:b w:val="1"/>
                <w:bCs w:val="1"/>
                <w:color w:val="auto"/>
              </w:rPr>
              <w:t>2025</w:t>
            </w:r>
          </w:p>
        </w:tc>
        <w:tc>
          <w:tcPr>
            <w:tcW w:w="0" w:type="dxa"/>
            <w:vAlign w:val="bottom"/>
          </w:tcPr>
          <w:p>
            <w:pPr>
              <w:spacing w:after="0"/>
              <w:rPr>
                <w:sz w:val="1"/>
                <w:szCs w:val="1"/>
                <w:color w:val="auto"/>
              </w:rPr>
            </w:pPr>
          </w:p>
        </w:tc>
      </w:tr>
      <w:tr>
        <w:trPr>
          <w:trHeight w:val="115"/>
        </w:trPr>
        <w:tc>
          <w:tcPr>
            <w:tcW w:w="680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800" w:type="dxa"/>
            <w:vAlign w:val="bottom"/>
          </w:tcPr>
          <w:p>
            <w:pPr>
              <w:spacing w:after="0"/>
              <w:rPr>
                <w:sz w:val="20"/>
                <w:szCs w:val="20"/>
                <w:color w:val="auto"/>
              </w:rPr>
            </w:pPr>
            <w:r>
              <w:rPr>
                <w:rFonts w:ascii="Times New Roman" w:cs="Times New Roman" w:eastAsia="Times New Roman" w:hAnsi="Times New Roman"/>
                <w:sz w:val="11"/>
                <w:szCs w:val="11"/>
                <w:color w:val="auto"/>
              </w:rPr>
              <w:t>Commercial and industrial</w:t>
            </w:r>
          </w:p>
        </w:tc>
        <w:tc>
          <w:tcPr>
            <w:tcW w:w="1180" w:type="dxa"/>
            <w:vAlign w:val="bottom"/>
          </w:tcPr>
          <w:p>
            <w:pPr>
              <w:jc w:val="right"/>
              <w:ind w:right="1103"/>
              <w:spacing w:after="0"/>
              <w:rPr>
                <w:sz w:val="20"/>
                <w:szCs w:val="20"/>
                <w:color w:val="auto"/>
              </w:rPr>
            </w:pPr>
            <w:r>
              <w:rPr>
                <w:rFonts w:ascii="Times New Roman" w:cs="Times New Roman" w:eastAsia="Times New Roman" w:hAnsi="Times New Roman"/>
                <w:sz w:val="5"/>
                <w:szCs w:val="5"/>
                <w:color w:val="auto"/>
                <w:w w:val="7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2,410</w:t>
            </w:r>
          </w:p>
        </w:tc>
        <w:tc>
          <w:tcPr>
            <w:tcW w:w="180" w:type="dxa"/>
            <w:vAlign w:val="bottom"/>
          </w:tcPr>
          <w:p>
            <w:pPr>
              <w:spacing w:after="0"/>
              <w:rPr>
                <w:sz w:val="11"/>
                <w:szCs w:val="11"/>
                <w:color w:val="auto"/>
              </w:rPr>
            </w:pP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1,577</w:t>
            </w:r>
          </w:p>
        </w:tc>
        <w:tc>
          <w:tcPr>
            <w:tcW w:w="0" w:type="dxa"/>
            <w:vAlign w:val="bottom"/>
          </w:tcPr>
          <w:p>
            <w:pPr>
              <w:spacing w:after="0"/>
              <w:rPr>
                <w:sz w:val="1"/>
                <w:szCs w:val="1"/>
                <w:color w:val="auto"/>
              </w:rPr>
            </w:pPr>
          </w:p>
        </w:tc>
      </w:tr>
      <w:tr>
        <w:trPr>
          <w:trHeight w:val="135"/>
        </w:trPr>
        <w:tc>
          <w:tcPr>
            <w:tcW w:w="6800" w:type="dxa"/>
            <w:vAlign w:val="bottom"/>
          </w:tcPr>
          <w:p>
            <w:pPr>
              <w:spacing w:after="0"/>
              <w:rPr>
                <w:sz w:val="20"/>
                <w:szCs w:val="20"/>
                <w:color w:val="auto"/>
              </w:rPr>
            </w:pPr>
            <w:r>
              <w:rPr>
                <w:rFonts w:ascii="Times New Roman" w:cs="Times New Roman" w:eastAsia="Times New Roman" w:hAnsi="Times New Roman"/>
                <w:sz w:val="11"/>
                <w:szCs w:val="11"/>
                <w:color w:val="auto"/>
              </w:rPr>
              <w:t>Commercial real estate</w:t>
            </w:r>
          </w:p>
        </w:tc>
        <w:tc>
          <w:tcPr>
            <w:tcW w:w="11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15,843</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8,690</w:t>
            </w:r>
          </w:p>
        </w:tc>
        <w:tc>
          <w:tcPr>
            <w:tcW w:w="0" w:type="dxa"/>
            <w:vAlign w:val="bottom"/>
          </w:tcPr>
          <w:p>
            <w:pPr>
              <w:spacing w:after="0"/>
              <w:rPr>
                <w:sz w:val="1"/>
                <w:szCs w:val="1"/>
                <w:color w:val="auto"/>
              </w:rPr>
            </w:pPr>
          </w:p>
        </w:tc>
      </w:tr>
      <w:tr>
        <w:trPr>
          <w:trHeight w:val="135"/>
        </w:trPr>
        <w:tc>
          <w:tcPr>
            <w:tcW w:w="6800" w:type="dxa"/>
            <w:vAlign w:val="bottom"/>
          </w:tcPr>
          <w:p>
            <w:pPr>
              <w:spacing w:after="0"/>
              <w:rPr>
                <w:sz w:val="20"/>
                <w:szCs w:val="20"/>
                <w:color w:val="auto"/>
              </w:rPr>
            </w:pPr>
            <w:r>
              <w:rPr>
                <w:rFonts w:ascii="Times New Roman" w:cs="Times New Roman" w:eastAsia="Times New Roman" w:hAnsi="Times New Roman"/>
                <w:sz w:val="11"/>
                <w:szCs w:val="11"/>
                <w:color w:val="auto"/>
              </w:rPr>
              <w:t>Commercial real estate construction</w:t>
            </w:r>
          </w:p>
        </w:tc>
        <w:tc>
          <w:tcPr>
            <w:tcW w:w="1180" w:type="dxa"/>
            <w:vAlign w:val="bottom"/>
          </w:tcPr>
          <w:p>
            <w:pPr>
              <w:spacing w:after="0"/>
              <w:rPr>
                <w:sz w:val="11"/>
                <w:szCs w:val="11"/>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1"/>
                <w:szCs w:val="1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5"/>
        </w:trPr>
        <w:tc>
          <w:tcPr>
            <w:tcW w:w="6800" w:type="dxa"/>
            <w:vAlign w:val="bottom"/>
          </w:tcPr>
          <w:p>
            <w:pPr>
              <w:spacing w:after="0"/>
              <w:rPr>
                <w:sz w:val="20"/>
                <w:szCs w:val="20"/>
                <w:color w:val="auto"/>
              </w:rPr>
            </w:pPr>
            <w:r>
              <w:rPr>
                <w:rFonts w:ascii="Times New Roman" w:cs="Times New Roman" w:eastAsia="Times New Roman" w:hAnsi="Times New Roman"/>
                <w:sz w:val="11"/>
                <w:szCs w:val="11"/>
                <w:color w:val="auto"/>
              </w:rPr>
              <w:t>Residential real estate</w:t>
            </w:r>
          </w:p>
        </w:tc>
        <w:tc>
          <w:tcPr>
            <w:tcW w:w="1180" w:type="dxa"/>
            <w:vAlign w:val="bottom"/>
          </w:tcPr>
          <w:p>
            <w:pPr>
              <w:spacing w:after="0"/>
              <w:rPr>
                <w:sz w:val="11"/>
                <w:szCs w:val="11"/>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1"/>
                <w:szCs w:val="1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35"/>
        </w:trPr>
        <w:tc>
          <w:tcPr>
            <w:tcW w:w="6800" w:type="dxa"/>
            <w:vAlign w:val="bottom"/>
          </w:tcPr>
          <w:p>
            <w:pPr>
              <w:spacing w:after="0"/>
              <w:rPr>
                <w:sz w:val="20"/>
                <w:szCs w:val="20"/>
                <w:color w:val="auto"/>
              </w:rPr>
            </w:pPr>
            <w:r>
              <w:rPr>
                <w:rFonts w:ascii="Times New Roman" w:cs="Times New Roman" w:eastAsia="Times New Roman" w:hAnsi="Times New Roman"/>
                <w:sz w:val="11"/>
                <w:szCs w:val="11"/>
                <w:color w:val="auto"/>
              </w:rPr>
              <w:t>Home equity</w:t>
            </w:r>
          </w:p>
        </w:tc>
        <w:tc>
          <w:tcPr>
            <w:tcW w:w="11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827</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844</w:t>
            </w:r>
          </w:p>
        </w:tc>
        <w:tc>
          <w:tcPr>
            <w:tcW w:w="0" w:type="dxa"/>
            <w:vAlign w:val="bottom"/>
          </w:tcPr>
          <w:p>
            <w:pPr>
              <w:spacing w:after="0"/>
              <w:rPr>
                <w:sz w:val="1"/>
                <w:szCs w:val="1"/>
                <w:color w:val="auto"/>
              </w:rPr>
            </w:pPr>
          </w:p>
        </w:tc>
      </w:tr>
      <w:tr>
        <w:trPr>
          <w:trHeight w:val="144"/>
        </w:trPr>
        <w:tc>
          <w:tcPr>
            <w:tcW w:w="6800" w:type="dxa"/>
            <w:vAlign w:val="bottom"/>
          </w:tcPr>
          <w:p>
            <w:pPr>
              <w:spacing w:after="0"/>
              <w:rPr>
                <w:sz w:val="20"/>
                <w:szCs w:val="20"/>
                <w:color w:val="auto"/>
              </w:rPr>
            </w:pPr>
            <w:r>
              <w:rPr>
                <w:rFonts w:ascii="Times New Roman" w:cs="Times New Roman" w:eastAsia="Times New Roman" w:hAnsi="Times New Roman"/>
                <w:sz w:val="11"/>
                <w:szCs w:val="11"/>
                <w:color w:val="auto"/>
              </w:rPr>
              <w:t>Consumer</w:t>
            </w:r>
          </w:p>
        </w:tc>
        <w:tc>
          <w:tcPr>
            <w:tcW w:w="118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4"/>
        </w:trPr>
        <w:tc>
          <w:tcPr>
            <w:tcW w:w="6800" w:type="dxa"/>
            <w:vAlign w:val="bottom"/>
          </w:tcPr>
          <w:p>
            <w:pPr>
              <w:ind w:left="60"/>
              <w:spacing w:after="0" w:line="121" w:lineRule="exact"/>
              <w:rPr>
                <w:sz w:val="20"/>
                <w:szCs w:val="20"/>
                <w:color w:val="auto"/>
              </w:rPr>
            </w:pPr>
            <w:r>
              <w:rPr>
                <w:rFonts w:ascii="Times New Roman" w:cs="Times New Roman" w:eastAsia="Times New Roman" w:hAnsi="Times New Roman"/>
                <w:sz w:val="11"/>
                <w:szCs w:val="11"/>
                <w:color w:val="auto"/>
              </w:rPr>
              <w:t>Total non-accrual loans</w:t>
            </w:r>
          </w:p>
        </w:tc>
        <w:tc>
          <w:tcPr>
            <w:tcW w:w="118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19,080</w:t>
            </w:r>
          </w:p>
        </w:tc>
        <w:tc>
          <w:tcPr>
            <w:tcW w:w="180" w:type="dxa"/>
            <w:vAlign w:val="bottom"/>
          </w:tcPr>
          <w:p>
            <w:pPr>
              <w:spacing w:after="0"/>
              <w:rPr>
                <w:sz w:val="10"/>
                <w:szCs w:val="10"/>
                <w:color w:val="auto"/>
              </w:rPr>
            </w:pPr>
          </w:p>
        </w:tc>
        <w:tc>
          <w:tcPr>
            <w:tcW w:w="280" w:type="dxa"/>
            <w:vAlign w:val="bottom"/>
            <w:tcBorders>
              <w:top w:val="single" w:sz="8" w:color="auto"/>
              <w:bottom w:val="single" w:sz="8" w:color="auto"/>
            </w:tcBorders>
          </w:tcPr>
          <w:p>
            <w:pPr>
              <w:spacing w:after="0"/>
              <w:rPr>
                <w:sz w:val="10"/>
                <w:szCs w:val="10"/>
                <w:color w:val="auto"/>
              </w:rPr>
            </w:pPr>
          </w:p>
        </w:tc>
        <w:tc>
          <w:tcPr>
            <w:tcW w:w="130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11,112</w:t>
            </w:r>
          </w:p>
        </w:tc>
        <w:tc>
          <w:tcPr>
            <w:tcW w:w="0" w:type="dxa"/>
            <w:vAlign w:val="bottom"/>
          </w:tcPr>
          <w:p>
            <w:pPr>
              <w:spacing w:after="0"/>
              <w:rPr>
                <w:sz w:val="1"/>
                <w:szCs w:val="1"/>
                <w:color w:val="auto"/>
              </w:rPr>
            </w:pPr>
          </w:p>
        </w:tc>
      </w:tr>
      <w:tr>
        <w:trPr>
          <w:trHeight w:val="115"/>
        </w:trPr>
        <w:tc>
          <w:tcPr>
            <w:tcW w:w="680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Accruing loans 90 days or more past due:</w:t>
            </w:r>
          </w:p>
        </w:tc>
        <w:tc>
          <w:tcPr>
            <w:tcW w:w="1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800" w:type="dxa"/>
            <w:vAlign w:val="bottom"/>
          </w:tcPr>
          <w:p>
            <w:pPr>
              <w:spacing w:after="0"/>
              <w:rPr>
                <w:sz w:val="20"/>
                <w:szCs w:val="20"/>
                <w:color w:val="auto"/>
              </w:rPr>
            </w:pPr>
            <w:r>
              <w:rPr>
                <w:rFonts w:ascii="Times New Roman" w:cs="Times New Roman" w:eastAsia="Times New Roman" w:hAnsi="Times New Roman"/>
                <w:sz w:val="11"/>
                <w:szCs w:val="11"/>
                <w:color w:val="auto"/>
              </w:rPr>
              <w:t>Commercial and industrial</w:t>
            </w:r>
          </w:p>
        </w:tc>
        <w:tc>
          <w:tcPr>
            <w:tcW w:w="11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282</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0" w:type="dxa"/>
            <w:vAlign w:val="bottom"/>
          </w:tcPr>
          <w:p>
            <w:pPr>
              <w:spacing w:after="0"/>
              <w:rPr>
                <w:sz w:val="1"/>
                <w:szCs w:val="1"/>
                <w:color w:val="auto"/>
              </w:rPr>
            </w:pPr>
          </w:p>
        </w:tc>
      </w:tr>
      <w:tr>
        <w:trPr>
          <w:trHeight w:val="135"/>
        </w:trPr>
        <w:tc>
          <w:tcPr>
            <w:tcW w:w="6800" w:type="dxa"/>
            <w:vAlign w:val="bottom"/>
          </w:tcPr>
          <w:p>
            <w:pPr>
              <w:spacing w:after="0"/>
              <w:rPr>
                <w:sz w:val="20"/>
                <w:szCs w:val="20"/>
                <w:color w:val="auto"/>
              </w:rPr>
            </w:pPr>
            <w:r>
              <w:rPr>
                <w:rFonts w:ascii="Times New Roman" w:cs="Times New Roman" w:eastAsia="Times New Roman" w:hAnsi="Times New Roman"/>
                <w:sz w:val="11"/>
                <w:szCs w:val="11"/>
                <w:color w:val="auto"/>
              </w:rPr>
              <w:t>Commercial real estate</w:t>
            </w:r>
          </w:p>
        </w:tc>
        <w:tc>
          <w:tcPr>
            <w:tcW w:w="1180" w:type="dxa"/>
            <w:vAlign w:val="bottom"/>
          </w:tcPr>
          <w:p>
            <w:pPr>
              <w:spacing w:after="0"/>
              <w:rPr>
                <w:sz w:val="11"/>
                <w:szCs w:val="11"/>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1"/>
                <w:szCs w:val="1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5"/>
        </w:trPr>
        <w:tc>
          <w:tcPr>
            <w:tcW w:w="6800" w:type="dxa"/>
            <w:vAlign w:val="bottom"/>
          </w:tcPr>
          <w:p>
            <w:pPr>
              <w:spacing w:after="0"/>
              <w:rPr>
                <w:sz w:val="20"/>
                <w:szCs w:val="20"/>
                <w:color w:val="auto"/>
              </w:rPr>
            </w:pPr>
            <w:r>
              <w:rPr>
                <w:rFonts w:ascii="Times New Roman" w:cs="Times New Roman" w:eastAsia="Times New Roman" w:hAnsi="Times New Roman"/>
                <w:sz w:val="11"/>
                <w:szCs w:val="11"/>
                <w:color w:val="auto"/>
              </w:rPr>
              <w:t>Commercial real estate construction</w:t>
            </w:r>
          </w:p>
        </w:tc>
        <w:tc>
          <w:tcPr>
            <w:tcW w:w="1180" w:type="dxa"/>
            <w:vAlign w:val="bottom"/>
          </w:tcPr>
          <w:p>
            <w:pPr>
              <w:spacing w:after="0"/>
              <w:rPr>
                <w:sz w:val="11"/>
                <w:szCs w:val="11"/>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1"/>
                <w:szCs w:val="1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5"/>
        </w:trPr>
        <w:tc>
          <w:tcPr>
            <w:tcW w:w="6800" w:type="dxa"/>
            <w:vAlign w:val="bottom"/>
          </w:tcPr>
          <w:p>
            <w:pPr>
              <w:spacing w:after="0"/>
              <w:rPr>
                <w:sz w:val="20"/>
                <w:szCs w:val="20"/>
                <w:color w:val="auto"/>
              </w:rPr>
            </w:pPr>
            <w:r>
              <w:rPr>
                <w:rFonts w:ascii="Times New Roman" w:cs="Times New Roman" w:eastAsia="Times New Roman" w:hAnsi="Times New Roman"/>
                <w:sz w:val="11"/>
                <w:szCs w:val="11"/>
                <w:color w:val="auto"/>
              </w:rPr>
              <w:t>Residential real estate</w:t>
            </w:r>
          </w:p>
        </w:tc>
        <w:tc>
          <w:tcPr>
            <w:tcW w:w="1180" w:type="dxa"/>
            <w:vAlign w:val="bottom"/>
          </w:tcPr>
          <w:p>
            <w:pPr>
              <w:spacing w:after="0"/>
              <w:rPr>
                <w:sz w:val="11"/>
                <w:szCs w:val="11"/>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1"/>
                <w:szCs w:val="1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5"/>
        </w:trPr>
        <w:tc>
          <w:tcPr>
            <w:tcW w:w="6800" w:type="dxa"/>
            <w:vAlign w:val="bottom"/>
          </w:tcPr>
          <w:p>
            <w:pPr>
              <w:spacing w:after="0"/>
              <w:rPr>
                <w:sz w:val="20"/>
                <w:szCs w:val="20"/>
                <w:color w:val="auto"/>
              </w:rPr>
            </w:pPr>
            <w:r>
              <w:rPr>
                <w:rFonts w:ascii="Times New Roman" w:cs="Times New Roman" w:eastAsia="Times New Roman" w:hAnsi="Times New Roman"/>
                <w:sz w:val="11"/>
                <w:szCs w:val="11"/>
                <w:color w:val="auto"/>
              </w:rPr>
              <w:t>Home equity</w:t>
            </w:r>
          </w:p>
        </w:tc>
        <w:tc>
          <w:tcPr>
            <w:tcW w:w="1180" w:type="dxa"/>
            <w:vAlign w:val="bottom"/>
          </w:tcPr>
          <w:p>
            <w:pPr>
              <w:spacing w:after="0"/>
              <w:rPr>
                <w:sz w:val="11"/>
                <w:szCs w:val="11"/>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1"/>
                <w:szCs w:val="1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6800" w:type="dxa"/>
            <w:vAlign w:val="bottom"/>
          </w:tcPr>
          <w:p>
            <w:pPr>
              <w:spacing w:after="0"/>
              <w:rPr>
                <w:sz w:val="20"/>
                <w:szCs w:val="20"/>
                <w:color w:val="auto"/>
              </w:rPr>
            </w:pPr>
            <w:r>
              <w:rPr>
                <w:rFonts w:ascii="Times New Roman" w:cs="Times New Roman" w:eastAsia="Times New Roman" w:hAnsi="Times New Roman"/>
                <w:sz w:val="11"/>
                <w:szCs w:val="11"/>
                <w:color w:val="auto"/>
              </w:rPr>
              <w:t>Consumer</w:t>
            </w:r>
          </w:p>
        </w:tc>
        <w:tc>
          <w:tcPr>
            <w:tcW w:w="118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4"/>
        </w:trPr>
        <w:tc>
          <w:tcPr>
            <w:tcW w:w="6800" w:type="dxa"/>
            <w:vAlign w:val="bottom"/>
          </w:tcPr>
          <w:p>
            <w:pPr>
              <w:ind w:left="60"/>
              <w:spacing w:after="0" w:line="121" w:lineRule="exact"/>
              <w:rPr>
                <w:sz w:val="20"/>
                <w:szCs w:val="20"/>
                <w:color w:val="auto"/>
              </w:rPr>
            </w:pPr>
            <w:r>
              <w:rPr>
                <w:rFonts w:ascii="Times New Roman" w:cs="Times New Roman" w:eastAsia="Times New Roman" w:hAnsi="Times New Roman"/>
                <w:sz w:val="11"/>
                <w:szCs w:val="11"/>
                <w:color w:val="auto"/>
              </w:rPr>
              <w:t>Total loans 90 days or more past due</w:t>
            </w:r>
          </w:p>
        </w:tc>
        <w:tc>
          <w:tcPr>
            <w:tcW w:w="118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282</w:t>
            </w:r>
          </w:p>
        </w:tc>
        <w:tc>
          <w:tcPr>
            <w:tcW w:w="180" w:type="dxa"/>
            <w:vAlign w:val="bottom"/>
          </w:tcPr>
          <w:p>
            <w:pPr>
              <w:spacing w:after="0"/>
              <w:rPr>
                <w:sz w:val="10"/>
                <w:szCs w:val="10"/>
                <w:color w:val="auto"/>
              </w:rPr>
            </w:pPr>
          </w:p>
        </w:tc>
        <w:tc>
          <w:tcPr>
            <w:tcW w:w="280" w:type="dxa"/>
            <w:vAlign w:val="bottom"/>
            <w:tcBorders>
              <w:top w:val="single" w:sz="8" w:color="auto"/>
              <w:bottom w:val="single" w:sz="8" w:color="auto"/>
            </w:tcBorders>
          </w:tcPr>
          <w:p>
            <w:pPr>
              <w:spacing w:after="0"/>
              <w:rPr>
                <w:sz w:val="10"/>
                <w:szCs w:val="10"/>
                <w:color w:val="auto"/>
              </w:rPr>
            </w:pPr>
          </w:p>
        </w:tc>
        <w:tc>
          <w:tcPr>
            <w:tcW w:w="130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18</w:t>
            </w:r>
          </w:p>
        </w:tc>
        <w:tc>
          <w:tcPr>
            <w:tcW w:w="0" w:type="dxa"/>
            <w:vAlign w:val="bottom"/>
          </w:tcPr>
          <w:p>
            <w:pPr>
              <w:spacing w:after="0"/>
              <w:rPr>
                <w:sz w:val="1"/>
                <w:szCs w:val="1"/>
                <w:color w:val="auto"/>
              </w:rPr>
            </w:pPr>
          </w:p>
        </w:tc>
      </w:tr>
      <w:tr>
        <w:trPr>
          <w:trHeight w:val="124"/>
        </w:trPr>
        <w:tc>
          <w:tcPr>
            <w:tcW w:w="6800" w:type="dxa"/>
            <w:vAlign w:val="bottom"/>
          </w:tcPr>
          <w:p>
            <w:pPr>
              <w:spacing w:after="0" w:line="121" w:lineRule="exact"/>
              <w:rPr>
                <w:sz w:val="20"/>
                <w:szCs w:val="20"/>
                <w:color w:val="auto"/>
              </w:rPr>
            </w:pPr>
            <w:r>
              <w:rPr>
                <w:rFonts w:ascii="Times New Roman" w:cs="Times New Roman" w:eastAsia="Times New Roman" w:hAnsi="Times New Roman"/>
                <w:sz w:val="11"/>
                <w:szCs w:val="11"/>
                <w:color w:val="auto"/>
              </w:rPr>
              <w:t>Total non-performing loans</w:t>
            </w:r>
          </w:p>
        </w:tc>
        <w:tc>
          <w:tcPr>
            <w:tcW w:w="11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19,362</w:t>
            </w:r>
          </w:p>
        </w:tc>
        <w:tc>
          <w:tcPr>
            <w:tcW w:w="18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11,130</w:t>
            </w:r>
          </w:p>
        </w:tc>
        <w:tc>
          <w:tcPr>
            <w:tcW w:w="0" w:type="dxa"/>
            <w:vAlign w:val="bottom"/>
          </w:tcPr>
          <w:p>
            <w:pPr>
              <w:spacing w:after="0"/>
              <w:rPr>
                <w:sz w:val="1"/>
                <w:szCs w:val="1"/>
                <w:color w:val="auto"/>
              </w:rPr>
            </w:pPr>
          </w:p>
        </w:tc>
      </w:tr>
      <w:tr>
        <w:trPr>
          <w:trHeight w:val="115"/>
        </w:trPr>
        <w:tc>
          <w:tcPr>
            <w:tcW w:w="680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Other real estate owned</w:t>
            </w:r>
          </w:p>
        </w:tc>
        <w:tc>
          <w:tcPr>
            <w:tcW w:w="1180" w:type="dxa"/>
            <w:vAlign w:val="bottom"/>
          </w:tcPr>
          <w:p>
            <w:pPr>
              <w:spacing w:after="0"/>
              <w:rPr>
                <w:sz w:val="9"/>
                <w:szCs w:val="9"/>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9"/>
                <w:szCs w:val="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6800" w:type="dxa"/>
            <w:vAlign w:val="bottom"/>
          </w:tcPr>
          <w:p>
            <w:pPr>
              <w:spacing w:after="0"/>
              <w:rPr>
                <w:sz w:val="20"/>
                <w:szCs w:val="20"/>
                <w:color w:val="auto"/>
              </w:rPr>
            </w:pPr>
            <w:r>
              <w:rPr>
                <w:rFonts w:ascii="Times New Roman" w:cs="Times New Roman" w:eastAsia="Times New Roman" w:hAnsi="Times New Roman"/>
                <w:sz w:val="11"/>
                <w:szCs w:val="11"/>
                <w:color w:val="auto"/>
              </w:rPr>
              <w:t>Other non-performing assets</w:t>
            </w:r>
          </w:p>
        </w:tc>
        <w:tc>
          <w:tcPr>
            <w:tcW w:w="118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1"/>
        </w:trPr>
        <w:tc>
          <w:tcPr>
            <w:tcW w:w="6800" w:type="dxa"/>
            <w:vAlign w:val="bottom"/>
          </w:tcPr>
          <w:p>
            <w:pPr>
              <w:spacing w:after="0" w:line="124" w:lineRule="exact"/>
              <w:rPr>
                <w:sz w:val="20"/>
                <w:szCs w:val="20"/>
                <w:color w:val="auto"/>
              </w:rPr>
            </w:pPr>
            <w:r>
              <w:rPr>
                <w:rFonts w:ascii="Times New Roman" w:cs="Times New Roman" w:eastAsia="Times New Roman" w:hAnsi="Times New Roman"/>
                <w:sz w:val="11"/>
                <w:szCs w:val="11"/>
                <w:color w:val="auto"/>
              </w:rPr>
              <w:t>Total non-performing assets</w:t>
            </w:r>
          </w:p>
        </w:tc>
        <w:tc>
          <w:tcPr>
            <w:tcW w:w="1180" w:type="dxa"/>
            <w:vAlign w:val="bottom"/>
            <w:tcBorders>
              <w:top w:val="single" w:sz="8" w:color="auto"/>
              <w:bottom w:val="single" w:sz="8" w:color="auto"/>
            </w:tcBorders>
          </w:tcPr>
          <w:p>
            <w:pPr>
              <w:jc w:val="right"/>
              <w:ind w:right="1103"/>
              <w:spacing w:after="0"/>
              <w:rPr>
                <w:sz w:val="20"/>
                <w:szCs w:val="20"/>
                <w:color w:val="auto"/>
              </w:rPr>
            </w:pPr>
            <w:r>
              <w:rPr>
                <w:rFonts w:ascii="Times New Roman" w:cs="Times New Roman" w:eastAsia="Times New Roman" w:hAnsi="Times New Roman"/>
                <w:sz w:val="5"/>
                <w:szCs w:val="5"/>
                <w:color w:val="auto"/>
                <w:w w:val="78"/>
              </w:rPr>
              <w:t>$</w:t>
            </w:r>
          </w:p>
        </w:tc>
        <w:tc>
          <w:tcPr>
            <w:tcW w:w="42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19,362</w:t>
            </w:r>
          </w:p>
        </w:tc>
        <w:tc>
          <w:tcPr>
            <w:tcW w:w="180" w:type="dxa"/>
            <w:vAlign w:val="bottom"/>
          </w:tcPr>
          <w:p>
            <w:pPr>
              <w:spacing w:after="0"/>
              <w:rPr>
                <w:sz w:val="11"/>
                <w:szCs w:val="11"/>
                <w:color w:val="auto"/>
              </w:rPr>
            </w:pPr>
          </w:p>
        </w:tc>
        <w:tc>
          <w:tcPr>
            <w:tcW w:w="280" w:type="dxa"/>
            <w:vAlign w:val="bottom"/>
            <w:tcBorders>
              <w:top w:val="single" w:sz="8" w:color="auto"/>
              <w:bottom w:val="single" w:sz="8" w:color="auto"/>
            </w:tcBorders>
          </w:tcPr>
          <w:p>
            <w:pPr>
              <w:jc w:val="right"/>
              <w:ind w:right="166"/>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11,130</w:t>
            </w:r>
          </w:p>
        </w:tc>
        <w:tc>
          <w:tcPr>
            <w:tcW w:w="0" w:type="dxa"/>
            <w:vAlign w:val="bottom"/>
          </w:tcPr>
          <w:p>
            <w:pPr>
              <w:spacing w:after="0"/>
              <w:rPr>
                <w:sz w:val="1"/>
                <w:szCs w:val="1"/>
                <w:color w:val="auto"/>
              </w:rPr>
            </w:pPr>
          </w:p>
        </w:tc>
      </w:tr>
      <w:tr>
        <w:trPr>
          <w:trHeight w:val="261"/>
        </w:trPr>
        <w:tc>
          <w:tcPr>
            <w:tcW w:w="6800" w:type="dxa"/>
            <w:vAlign w:val="bottom"/>
          </w:tcPr>
          <w:p>
            <w:pPr>
              <w:spacing w:after="0"/>
              <w:rPr>
                <w:sz w:val="20"/>
                <w:szCs w:val="20"/>
                <w:color w:val="auto"/>
              </w:rPr>
            </w:pPr>
            <w:r>
              <w:rPr>
                <w:rFonts w:ascii="Times New Roman" w:cs="Times New Roman" w:eastAsia="Times New Roman" w:hAnsi="Times New Roman"/>
                <w:sz w:val="11"/>
                <w:szCs w:val="11"/>
                <w:color w:val="auto"/>
              </w:rPr>
              <w:t>Ratios:</w:t>
            </w:r>
          </w:p>
        </w:tc>
        <w:tc>
          <w:tcPr>
            <w:tcW w:w="1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6800" w:type="dxa"/>
            <w:vAlign w:val="bottom"/>
          </w:tcPr>
          <w:p>
            <w:pPr>
              <w:spacing w:after="0"/>
              <w:rPr>
                <w:sz w:val="20"/>
                <w:szCs w:val="20"/>
                <w:color w:val="auto"/>
              </w:rPr>
            </w:pPr>
            <w:r>
              <w:rPr>
                <w:rFonts w:ascii="Times New Roman" w:cs="Times New Roman" w:eastAsia="Times New Roman" w:hAnsi="Times New Roman"/>
                <w:sz w:val="11"/>
                <w:szCs w:val="11"/>
                <w:color w:val="auto"/>
              </w:rPr>
              <w:t>Total non-performing loans to total loans</w:t>
            </w:r>
          </w:p>
        </w:tc>
        <w:tc>
          <w:tcPr>
            <w:tcW w:w="11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0.98%</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0.57%</w:t>
            </w:r>
          </w:p>
        </w:tc>
        <w:tc>
          <w:tcPr>
            <w:tcW w:w="0" w:type="dxa"/>
            <w:vAlign w:val="bottom"/>
          </w:tcPr>
          <w:p>
            <w:pPr>
              <w:spacing w:after="0"/>
              <w:rPr>
                <w:sz w:val="1"/>
                <w:szCs w:val="1"/>
                <w:color w:val="auto"/>
              </w:rPr>
            </w:pPr>
          </w:p>
        </w:tc>
      </w:tr>
      <w:tr>
        <w:trPr>
          <w:trHeight w:val="135"/>
        </w:trPr>
        <w:tc>
          <w:tcPr>
            <w:tcW w:w="6800" w:type="dxa"/>
            <w:vAlign w:val="bottom"/>
          </w:tcPr>
          <w:p>
            <w:pPr>
              <w:spacing w:after="0"/>
              <w:rPr>
                <w:sz w:val="20"/>
                <w:szCs w:val="20"/>
                <w:color w:val="auto"/>
              </w:rPr>
            </w:pPr>
            <w:r>
              <w:rPr>
                <w:rFonts w:ascii="Times New Roman" w:cs="Times New Roman" w:eastAsia="Times New Roman" w:hAnsi="Times New Roman"/>
                <w:sz w:val="11"/>
                <w:szCs w:val="11"/>
                <w:color w:val="auto"/>
              </w:rPr>
              <w:t>Total non-performing loans to total assets</w:t>
            </w:r>
          </w:p>
        </w:tc>
        <w:tc>
          <w:tcPr>
            <w:tcW w:w="11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0.71%</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0.42%</w:t>
            </w:r>
          </w:p>
        </w:tc>
        <w:tc>
          <w:tcPr>
            <w:tcW w:w="0" w:type="dxa"/>
            <w:vAlign w:val="bottom"/>
          </w:tcPr>
          <w:p>
            <w:pPr>
              <w:spacing w:after="0"/>
              <w:rPr>
                <w:sz w:val="1"/>
                <w:szCs w:val="1"/>
                <w:color w:val="auto"/>
              </w:rPr>
            </w:pPr>
          </w:p>
        </w:tc>
      </w:tr>
      <w:tr>
        <w:trPr>
          <w:trHeight w:val="135"/>
        </w:trPr>
        <w:tc>
          <w:tcPr>
            <w:tcW w:w="6800" w:type="dxa"/>
            <w:vAlign w:val="bottom"/>
          </w:tcPr>
          <w:p>
            <w:pPr>
              <w:spacing w:after="0"/>
              <w:rPr>
                <w:sz w:val="20"/>
                <w:szCs w:val="20"/>
                <w:color w:val="auto"/>
              </w:rPr>
            </w:pPr>
            <w:r>
              <w:rPr>
                <w:rFonts w:ascii="Times New Roman" w:cs="Times New Roman" w:eastAsia="Times New Roman" w:hAnsi="Times New Roman"/>
                <w:sz w:val="11"/>
                <w:szCs w:val="11"/>
                <w:color w:val="auto"/>
              </w:rPr>
              <w:t>Total non-performing assets to total assets</w:t>
            </w:r>
          </w:p>
        </w:tc>
        <w:tc>
          <w:tcPr>
            <w:tcW w:w="11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0.71%</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0.42%</w:t>
            </w:r>
          </w:p>
        </w:tc>
        <w:tc>
          <w:tcPr>
            <w:tcW w:w="0" w:type="dxa"/>
            <w:vAlign w:val="bottom"/>
          </w:tcPr>
          <w:p>
            <w:pPr>
              <w:spacing w:after="0"/>
              <w:rPr>
                <w:sz w:val="1"/>
                <w:szCs w:val="1"/>
                <w:color w:val="auto"/>
              </w:rPr>
            </w:pPr>
          </w:p>
        </w:tc>
      </w:tr>
      <w:tr>
        <w:trPr>
          <w:trHeight w:val="140"/>
        </w:trPr>
        <w:tc>
          <w:tcPr>
            <w:tcW w:w="6800" w:type="dxa"/>
            <w:vAlign w:val="bottom"/>
          </w:tcPr>
          <w:p>
            <w:pPr>
              <w:spacing w:after="0"/>
              <w:rPr>
                <w:sz w:val="20"/>
                <w:szCs w:val="20"/>
                <w:color w:val="auto"/>
              </w:rPr>
            </w:pPr>
            <w:r>
              <w:rPr>
                <w:rFonts w:ascii="Times New Roman" w:cs="Times New Roman" w:eastAsia="Times New Roman" w:hAnsi="Times New Roman"/>
                <w:sz w:val="11"/>
                <w:szCs w:val="11"/>
                <w:color w:val="auto"/>
              </w:rPr>
              <w:t>Net-charge-offs to total loans, YTD</w:t>
            </w:r>
          </w:p>
        </w:tc>
        <w:tc>
          <w:tcPr>
            <w:tcW w:w="11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0.02%</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0.29%</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160"/>
      </w:cols>
      <w:pgMar w:left="860" w:top="12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2026-10-28T16:03:40Z</dcterms:created>
  <dcterms:modified xsi:type="dcterms:W3CDTF">2026-10-28T16:03:40Z</dcterms:modified>
</cp:coreProperties>
</file>